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E258"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Preventing Medical Errors for SLPs</w:t>
      </w:r>
    </w:p>
    <w:p w14:paraId="4CA00D54"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Renee Garrett, </w:t>
      </w:r>
      <w:proofErr w:type="spellStart"/>
      <w:r w:rsidRPr="000A7B69">
        <w:rPr>
          <w:rFonts w:ascii="Arial" w:hAnsi="Arial" w:cs="Arial"/>
          <w:kern w:val="24"/>
        </w:rPr>
        <w:t>MSEd</w:t>
      </w:r>
      <w:proofErr w:type="spellEnd"/>
      <w:r w:rsidRPr="000A7B69">
        <w:rPr>
          <w:rFonts w:ascii="Arial" w:hAnsi="Arial" w:cs="Arial"/>
          <w:kern w:val="24"/>
        </w:rPr>
        <w:t>, CCC-SLP, CBIS</w:t>
      </w:r>
    </w:p>
    <w:p w14:paraId="332C34AC"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SHAV Conference</w:t>
      </w:r>
    </w:p>
    <w:p w14:paraId="41ED6634"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March 2024</w:t>
      </w:r>
    </w:p>
    <w:p w14:paraId="05F3F976"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Introduction</w:t>
      </w:r>
    </w:p>
    <w:p w14:paraId="7BB5D850"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eastAsia="Times New Roman" w:hAnsi="Arial" w:cs="Arial"/>
          <w:kern w:val="24"/>
        </w:rPr>
        <w:t>Speech Language Pathologists work in a variety of medical settings.  Whether you cover the NICU, pediatric outpatient, adult or geriatric hospitals or inpatient rehab, SLPs need to identify strategies for error prevention.  Health literacy, safety culture and overuse of medical language will be included in this discussion.  Learn how to use simple tools for root cause analysis and how identifying the “root” can foster better patient outcomes. Case studies and examples are included.</w:t>
      </w:r>
    </w:p>
    <w:p w14:paraId="0A387AF7"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According to this data….</w:t>
      </w:r>
    </w:p>
    <w:p w14:paraId="33D1F99F" w14:textId="77777777" w:rsidR="000A7B69" w:rsidRPr="000A7B69" w:rsidRDefault="000A7B69" w:rsidP="000A7B69">
      <w:pPr>
        <w:numPr>
          <w:ilvl w:val="0"/>
          <w:numId w:val="4"/>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“Preventable medical errors contribute substantially to healthcare costs, including higher health insurance costs per person expenses.”</w:t>
      </w:r>
    </w:p>
    <w:p w14:paraId="196222D4"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64DEDF3A" w14:textId="77777777" w:rsidR="000A7B69" w:rsidRPr="000A7B69" w:rsidRDefault="000A7B69" w:rsidP="000A7B69">
      <w:pPr>
        <w:autoSpaceDE w:val="0"/>
        <w:autoSpaceDN w:val="0"/>
        <w:adjustRightInd w:val="0"/>
        <w:spacing w:after="0" w:line="240" w:lineRule="auto"/>
        <w:rPr>
          <w:rFonts w:ascii="Arial" w:hAnsi="Arial" w:cs="Arial"/>
          <w:kern w:val="24"/>
        </w:rPr>
      </w:pPr>
      <w:r w:rsidRPr="000A7B69">
        <w:rPr>
          <w:rFonts w:ascii="Arial" w:hAnsi="Arial" w:cs="Arial"/>
          <w:kern w:val="24"/>
        </w:rPr>
        <w:t>“Medical errors cost approximately $20 billion a year.</w:t>
      </w:r>
    </w:p>
    <w:p w14:paraId="5526A775" w14:textId="77777777" w:rsidR="000A7B69" w:rsidRPr="000A7B69" w:rsidRDefault="000A7B69" w:rsidP="000A7B69">
      <w:pPr>
        <w:autoSpaceDE w:val="0"/>
        <w:autoSpaceDN w:val="0"/>
        <w:adjustRightInd w:val="0"/>
        <w:spacing w:after="0" w:line="240" w:lineRule="auto"/>
        <w:rPr>
          <w:rFonts w:ascii="Arial" w:hAnsi="Arial" w:cs="Arial"/>
          <w:kern w:val="24"/>
        </w:rPr>
      </w:pPr>
    </w:p>
    <w:p w14:paraId="46F32937" w14:textId="77777777" w:rsidR="000A7B69" w:rsidRPr="000A7B69" w:rsidRDefault="000A7B69" w:rsidP="000A7B69">
      <w:pPr>
        <w:autoSpaceDE w:val="0"/>
        <w:autoSpaceDN w:val="0"/>
        <w:adjustRightInd w:val="0"/>
        <w:spacing w:after="0" w:line="240" w:lineRule="auto"/>
        <w:rPr>
          <w:rFonts w:ascii="Arial" w:hAnsi="Arial" w:cs="Arial"/>
          <w:kern w:val="24"/>
        </w:rPr>
      </w:pPr>
      <w:r w:rsidRPr="000A7B69">
        <w:rPr>
          <w:rFonts w:ascii="Arial" w:hAnsi="Arial" w:cs="Arial"/>
          <w:kern w:val="24"/>
        </w:rPr>
        <w:t>“Medical errors in hospitals and clinics result in approximately 100,000 people dying each year.”</w:t>
      </w:r>
    </w:p>
    <w:p w14:paraId="79810A87" w14:textId="5E1FD4D7" w:rsidR="000A7B69" w:rsidRPr="000A7B69" w:rsidRDefault="000A7B69" w:rsidP="000A7B69">
      <w:pPr>
        <w:autoSpaceDE w:val="0"/>
        <w:autoSpaceDN w:val="0"/>
        <w:adjustRightInd w:val="0"/>
        <w:spacing w:after="0" w:line="240" w:lineRule="auto"/>
        <w:rPr>
          <w:rFonts w:ascii="Arial" w:hAnsi="Arial" w:cs="Arial"/>
          <w:kern w:val="24"/>
        </w:rPr>
      </w:pPr>
    </w:p>
    <w:p w14:paraId="667DDE4B" w14:textId="77777777" w:rsidR="000A7B69" w:rsidRPr="000A7B69" w:rsidRDefault="000A7B69" w:rsidP="000A7B69">
      <w:pPr>
        <w:numPr>
          <w:ilvl w:val="0"/>
          <w:numId w:val="4"/>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Rodziewicz, Houseman and </w:t>
      </w:r>
      <w:proofErr w:type="spellStart"/>
      <w:r w:rsidRPr="000A7B69">
        <w:rPr>
          <w:rFonts w:ascii="Arial" w:hAnsi="Arial" w:cs="Arial"/>
          <w:kern w:val="24"/>
        </w:rPr>
        <w:t>Hiskind</w:t>
      </w:r>
      <w:proofErr w:type="spellEnd"/>
      <w:r w:rsidRPr="000A7B69">
        <w:rPr>
          <w:rFonts w:ascii="Arial" w:hAnsi="Arial" w:cs="Arial"/>
          <w:kern w:val="24"/>
        </w:rPr>
        <w:t>, 2022</w:t>
      </w:r>
    </w:p>
    <w:p w14:paraId="05C5C9D4"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Types of medical errors</w:t>
      </w:r>
    </w:p>
    <w:p w14:paraId="0FDC70AF"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Commission </w:t>
      </w:r>
      <w:proofErr w:type="gramStart"/>
      <w:r w:rsidRPr="000A7B69">
        <w:rPr>
          <w:rFonts w:ascii="Arial" w:hAnsi="Arial" w:cs="Arial"/>
          <w:kern w:val="24"/>
        </w:rPr>
        <w:t>error</w:t>
      </w:r>
      <w:proofErr w:type="gramEnd"/>
    </w:p>
    <w:p w14:paraId="16DB9290"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Omission error</w:t>
      </w:r>
    </w:p>
    <w:p w14:paraId="00925F81"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Other types of errors</w:t>
      </w:r>
    </w:p>
    <w:p w14:paraId="0A668C64"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Adverse Event</w:t>
      </w:r>
    </w:p>
    <w:p w14:paraId="1B249878"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An error in surgical treatment or medical treatment that causes injury to the </w:t>
      </w:r>
      <w:proofErr w:type="gramStart"/>
      <w:r w:rsidRPr="000A7B69">
        <w:rPr>
          <w:rFonts w:ascii="Arial" w:hAnsi="Arial" w:cs="Arial"/>
          <w:kern w:val="24"/>
        </w:rPr>
        <w:t>patient</w:t>
      </w:r>
      <w:proofErr w:type="gramEnd"/>
    </w:p>
    <w:p w14:paraId="65FA0527"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43A48B49" w14:textId="77777777" w:rsidR="000A7B69" w:rsidRPr="000A7B69" w:rsidRDefault="000A7B69" w:rsidP="000A7B69">
      <w:pPr>
        <w:autoSpaceDE w:val="0"/>
        <w:autoSpaceDN w:val="0"/>
        <w:adjustRightInd w:val="0"/>
        <w:spacing w:after="0" w:line="240" w:lineRule="auto"/>
        <w:ind w:left="144"/>
        <w:rPr>
          <w:rFonts w:ascii="Arial" w:hAnsi="Arial" w:cs="Arial"/>
          <w:kern w:val="24"/>
        </w:rPr>
      </w:pPr>
      <w:r w:rsidRPr="000A7B69">
        <w:rPr>
          <w:rFonts w:ascii="Arial" w:hAnsi="Arial" w:cs="Arial"/>
          <w:kern w:val="24"/>
        </w:rPr>
        <w:t xml:space="preserve">Counted if it was </w:t>
      </w:r>
      <w:proofErr w:type="gramStart"/>
      <w:r w:rsidRPr="000A7B69">
        <w:rPr>
          <w:rFonts w:ascii="Arial" w:hAnsi="Arial" w:cs="Arial"/>
          <w:kern w:val="24"/>
        </w:rPr>
        <w:t>preventable</w:t>
      </w:r>
      <w:proofErr w:type="gramEnd"/>
      <w:r w:rsidRPr="000A7B69">
        <w:rPr>
          <w:rFonts w:ascii="Arial" w:hAnsi="Arial" w:cs="Arial"/>
          <w:kern w:val="24"/>
        </w:rPr>
        <w:t xml:space="preserve"> </w:t>
      </w:r>
    </w:p>
    <w:p w14:paraId="1A805713"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4899286D"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Example: not utilizing </w:t>
      </w:r>
      <w:proofErr w:type="gramStart"/>
      <w:r w:rsidRPr="000A7B69">
        <w:rPr>
          <w:rFonts w:ascii="Arial" w:hAnsi="Arial" w:cs="Arial"/>
          <w:kern w:val="24"/>
        </w:rPr>
        <w:t>evidence based</w:t>
      </w:r>
      <w:proofErr w:type="gramEnd"/>
      <w:r w:rsidRPr="000A7B69">
        <w:rPr>
          <w:rFonts w:ascii="Arial" w:hAnsi="Arial" w:cs="Arial"/>
          <w:kern w:val="24"/>
        </w:rPr>
        <w:t xml:space="preserve"> practice</w:t>
      </w:r>
    </w:p>
    <w:p w14:paraId="36B0C41A"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Sentinel </w:t>
      </w:r>
      <w:proofErr w:type="gramStart"/>
      <w:r w:rsidRPr="000A7B69">
        <w:rPr>
          <w:rFonts w:ascii="Arial" w:hAnsi="Arial" w:cs="Arial"/>
          <w:kern w:val="24"/>
        </w:rPr>
        <w:t>event</w:t>
      </w:r>
      <w:proofErr w:type="gramEnd"/>
    </w:p>
    <w:p w14:paraId="365FDF81"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lastRenderedPageBreak/>
        <w:t>“The Joint Commission defines a "sentinel event" as “any unexpected occurrence involving death or serious physical or psychological injury, or the risk thereof...The phrase 'or the risk thereof' includes any process variation for which a recurrence would carry a significant chance of a serious adverse outcome.” (The Joint Commission, 2017)</w:t>
      </w:r>
    </w:p>
    <w:p w14:paraId="170E2B56" w14:textId="77777777" w:rsidR="000A7B69" w:rsidRPr="000A7B69" w:rsidRDefault="000A7B69" w:rsidP="000A7B69">
      <w:pPr>
        <w:numPr>
          <w:ilvl w:val="0"/>
          <w:numId w:val="2"/>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Medical error</w:t>
      </w:r>
    </w:p>
    <w:p w14:paraId="15A1430F" w14:textId="77777777" w:rsidR="000A7B69" w:rsidRPr="000A7B69" w:rsidRDefault="000A7B69" w:rsidP="000A7B69">
      <w:pPr>
        <w:numPr>
          <w:ilvl w:val="0"/>
          <w:numId w:val="5"/>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“Deviations from the process of care, which may or may not result in harm.</w:t>
      </w:r>
    </w:p>
    <w:p w14:paraId="66964E7E" w14:textId="77777777" w:rsidR="000A7B69" w:rsidRPr="000A7B69" w:rsidRDefault="000A7B69" w:rsidP="000A7B69">
      <w:pPr>
        <w:numPr>
          <w:ilvl w:val="0"/>
          <w:numId w:val="5"/>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When planning or executing a procedure, the act of omission or commission that contributes or may contribute to an unintended consequence.”</w:t>
      </w:r>
    </w:p>
    <w:p w14:paraId="2F4E32E2"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6602CC49" w14:textId="77777777" w:rsidR="000A7B69" w:rsidRPr="000A7B69" w:rsidRDefault="000A7B69" w:rsidP="000A7B69">
      <w:pPr>
        <w:autoSpaceDE w:val="0"/>
        <w:autoSpaceDN w:val="0"/>
        <w:adjustRightInd w:val="0"/>
        <w:spacing w:after="0" w:line="240" w:lineRule="auto"/>
        <w:rPr>
          <w:rFonts w:ascii="Arial" w:hAnsi="Arial" w:cs="Arial"/>
          <w:kern w:val="24"/>
        </w:rPr>
      </w:pPr>
      <w:r w:rsidRPr="000A7B69">
        <w:rPr>
          <w:rFonts w:ascii="Arial" w:hAnsi="Arial" w:cs="Arial"/>
          <w:kern w:val="24"/>
        </w:rPr>
        <w:t xml:space="preserve">Rodziewicz, Houseman and </w:t>
      </w:r>
      <w:proofErr w:type="spellStart"/>
      <w:r w:rsidRPr="000A7B69">
        <w:rPr>
          <w:rFonts w:ascii="Arial" w:hAnsi="Arial" w:cs="Arial"/>
          <w:kern w:val="24"/>
        </w:rPr>
        <w:t>Hiskind</w:t>
      </w:r>
      <w:proofErr w:type="spellEnd"/>
      <w:r w:rsidRPr="000A7B69">
        <w:rPr>
          <w:rFonts w:ascii="Arial" w:hAnsi="Arial" w:cs="Arial"/>
          <w:kern w:val="24"/>
        </w:rPr>
        <w:t>, 2022</w:t>
      </w:r>
    </w:p>
    <w:p w14:paraId="1463F19A"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613C62B5" w14:textId="319B355E" w:rsidR="000A7B69" w:rsidRPr="000A7B69" w:rsidRDefault="000A7B69" w:rsidP="000A7B69">
      <w:pPr>
        <w:autoSpaceDE w:val="0"/>
        <w:autoSpaceDN w:val="0"/>
        <w:adjustRightInd w:val="0"/>
        <w:spacing w:after="0" w:line="240" w:lineRule="auto"/>
        <w:rPr>
          <w:rFonts w:ascii="Arial" w:hAnsi="Arial" w:cs="Arial"/>
          <w:kern w:val="24"/>
        </w:rPr>
      </w:pPr>
      <w:r>
        <w:rPr>
          <w:rFonts w:ascii="Arial" w:hAnsi="Arial" w:cs="Arial"/>
          <w:kern w:val="24"/>
        </w:rPr>
        <w:t>La</w:t>
      </w:r>
      <w:r w:rsidRPr="000A7B69">
        <w:rPr>
          <w:rFonts w:ascii="Arial" w:hAnsi="Arial" w:cs="Arial"/>
          <w:kern w:val="24"/>
        </w:rPr>
        <w:t>tent error</w:t>
      </w:r>
    </w:p>
    <w:p w14:paraId="64A399CF"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t>
      </w:r>
      <w:proofErr w:type="gramStart"/>
      <w:r w:rsidRPr="000A7B69">
        <w:rPr>
          <w:rFonts w:ascii="Arial" w:hAnsi="Arial" w:cs="Arial"/>
          <w:kern w:val="24"/>
        </w:rPr>
        <w:t>accidents</w:t>
      </w:r>
      <w:proofErr w:type="gramEnd"/>
      <w:r w:rsidRPr="000A7B69">
        <w:rPr>
          <w:rFonts w:ascii="Arial" w:hAnsi="Arial" w:cs="Arial"/>
          <w:kern w:val="24"/>
        </w:rPr>
        <w:t xml:space="preserve"> waiting to happen”</w:t>
      </w:r>
    </w:p>
    <w:p w14:paraId="02E6FFF7" w14:textId="77777777" w:rsidR="000A7B69" w:rsidRDefault="000A7B69" w:rsidP="000A7B69">
      <w:pPr>
        <w:autoSpaceDE w:val="0"/>
        <w:autoSpaceDN w:val="0"/>
        <w:adjustRightInd w:val="0"/>
        <w:spacing w:after="0" w:line="240" w:lineRule="auto"/>
        <w:rPr>
          <w:rFonts w:ascii="Arial" w:hAnsi="Arial" w:cs="Arial"/>
          <w:kern w:val="24"/>
        </w:rPr>
      </w:pPr>
    </w:p>
    <w:p w14:paraId="7576FC24" w14:textId="2A5B12A5" w:rsidR="000A7B69" w:rsidRPr="000A7B69" w:rsidRDefault="000A7B69" w:rsidP="000A7B69">
      <w:pPr>
        <w:autoSpaceDE w:val="0"/>
        <w:autoSpaceDN w:val="0"/>
        <w:adjustRightInd w:val="0"/>
        <w:spacing w:after="0" w:line="240" w:lineRule="auto"/>
        <w:rPr>
          <w:rFonts w:ascii="Arial" w:hAnsi="Arial" w:cs="Arial"/>
          <w:kern w:val="24"/>
        </w:rPr>
      </w:pPr>
      <w:r w:rsidRPr="000A7B69">
        <w:rPr>
          <w:rFonts w:ascii="Arial" w:hAnsi="Arial" w:cs="Arial"/>
          <w:kern w:val="24"/>
        </w:rPr>
        <w:t>Lack of equipment maintenance or inaccurate installation</w:t>
      </w:r>
    </w:p>
    <w:p w14:paraId="70B3DE65"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3F67C97E"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Process design </w:t>
      </w:r>
      <w:proofErr w:type="gramStart"/>
      <w:r w:rsidRPr="000A7B69">
        <w:rPr>
          <w:rFonts w:ascii="Arial" w:hAnsi="Arial" w:cs="Arial"/>
          <w:kern w:val="24"/>
        </w:rPr>
        <w:t>errors</w:t>
      </w:r>
      <w:proofErr w:type="gramEnd"/>
    </w:p>
    <w:p w14:paraId="0BA9C9E8"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Negligent event</w:t>
      </w:r>
    </w:p>
    <w:p w14:paraId="0BB388AD"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“Failure to meet the reasonably expected standard of care of an average, qualified healthcare worker looking after a patient in question within similar circumstances. For example, the healthcare worker may not check up on the pathology report which led to a missed </w:t>
      </w:r>
      <w:proofErr w:type="gramStart"/>
      <w:r w:rsidRPr="000A7B69">
        <w:rPr>
          <w:rFonts w:ascii="Arial" w:hAnsi="Arial" w:cs="Arial"/>
          <w:kern w:val="24"/>
        </w:rPr>
        <w:t>cancer</w:t>
      </w:r>
      <w:proofErr w:type="gramEnd"/>
      <w:r w:rsidRPr="000A7B69">
        <w:rPr>
          <w:rFonts w:ascii="Arial" w:hAnsi="Arial" w:cs="Arial"/>
          <w:kern w:val="24"/>
        </w:rPr>
        <w:t xml:space="preserve"> or the surgeon may have injured a nerve by mistaking it for an artery.”</w:t>
      </w:r>
    </w:p>
    <w:p w14:paraId="018EFB97"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Rodziewicz, Houseman and </w:t>
      </w:r>
      <w:proofErr w:type="spellStart"/>
      <w:r w:rsidRPr="000A7B69">
        <w:rPr>
          <w:rFonts w:ascii="Arial" w:hAnsi="Arial" w:cs="Arial"/>
          <w:kern w:val="24"/>
        </w:rPr>
        <w:t>Hiskind</w:t>
      </w:r>
      <w:proofErr w:type="spellEnd"/>
      <w:r w:rsidRPr="000A7B69">
        <w:rPr>
          <w:rFonts w:ascii="Arial" w:hAnsi="Arial" w:cs="Arial"/>
          <w:kern w:val="24"/>
        </w:rPr>
        <w:t>, 2022</w:t>
      </w:r>
    </w:p>
    <w:p w14:paraId="65567FCF"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42720BA1"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Never event/Red flag rules</w:t>
      </w:r>
    </w:p>
    <w:p w14:paraId="2C350637"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Error reporting methods</w:t>
      </w:r>
    </w:p>
    <w:p w14:paraId="093C46F2"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Error prevention</w:t>
      </w:r>
    </w:p>
    <w:p w14:paraId="687A7905"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t>
      </w:r>
      <w:proofErr w:type="gramStart"/>
      <w:r w:rsidRPr="000A7B69">
        <w:rPr>
          <w:rFonts w:ascii="Arial" w:hAnsi="Arial" w:cs="Arial"/>
          <w:kern w:val="24"/>
        </w:rPr>
        <w:t>blame</w:t>
      </w:r>
      <w:proofErr w:type="gramEnd"/>
      <w:r w:rsidRPr="000A7B69">
        <w:rPr>
          <w:rFonts w:ascii="Arial" w:hAnsi="Arial" w:cs="Arial"/>
          <w:kern w:val="24"/>
        </w:rPr>
        <w:t xml:space="preserve"> culture” – psychological effects on providers such as fear or reporting, shame, guilt</w:t>
      </w:r>
    </w:p>
    <w:p w14:paraId="3D819D1E"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30755BBF"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By not reporting, the errors are more likely to continue.</w:t>
      </w:r>
    </w:p>
    <w:p w14:paraId="214D6BAE"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Reporting increases shame and guilt for some providers.  </w:t>
      </w:r>
    </w:p>
    <w:p w14:paraId="3228BC04"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lastRenderedPageBreak/>
        <w:t>Fear of legal ramifications</w:t>
      </w:r>
    </w:p>
    <w:p w14:paraId="5FC1BC12"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2658D77B"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SO, how can we prevent or reduce errors in the first place?</w:t>
      </w:r>
    </w:p>
    <w:p w14:paraId="394F5476" w14:textId="77777777" w:rsidR="000A7B69" w:rsidRPr="000A7B69" w:rsidRDefault="000A7B69" w:rsidP="000A7B69">
      <w:pPr>
        <w:autoSpaceDE w:val="0"/>
        <w:autoSpaceDN w:val="0"/>
        <w:adjustRightInd w:val="0"/>
        <w:spacing w:after="0" w:line="240" w:lineRule="auto"/>
        <w:rPr>
          <w:rFonts w:ascii="Arial" w:hAnsi="Arial" w:cs="Arial"/>
          <w:kern w:val="24"/>
        </w:rPr>
      </w:pPr>
      <w:r w:rsidRPr="000A7B69">
        <w:rPr>
          <w:rFonts w:ascii="Arial" w:hAnsi="Arial" w:cs="Arial"/>
          <w:kern w:val="24"/>
        </w:rPr>
        <w:t>Culture shift</w:t>
      </w:r>
    </w:p>
    <w:p w14:paraId="33681759" w14:textId="77777777" w:rsidR="000A7B69" w:rsidRPr="000A7B69" w:rsidRDefault="000A7B69" w:rsidP="000A7B69">
      <w:pPr>
        <w:numPr>
          <w:ilvl w:val="0"/>
          <w:numId w:val="6"/>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Education strategies: completing computer-based training vs. hands on </w:t>
      </w:r>
      <w:proofErr w:type="gramStart"/>
      <w:r w:rsidRPr="000A7B69">
        <w:rPr>
          <w:rFonts w:ascii="Arial" w:hAnsi="Arial" w:cs="Arial"/>
          <w:kern w:val="24"/>
        </w:rPr>
        <w:t>learning</w:t>
      </w:r>
      <w:proofErr w:type="gramEnd"/>
    </w:p>
    <w:p w14:paraId="3B547B10"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0BBAF7DE" w14:textId="0E62BA7E" w:rsidR="000A7B69" w:rsidRPr="000A7B69" w:rsidRDefault="000A7B69" w:rsidP="000A7B69">
      <w:pPr>
        <w:autoSpaceDE w:val="0"/>
        <w:autoSpaceDN w:val="0"/>
        <w:adjustRightInd w:val="0"/>
        <w:spacing w:after="0" w:line="240" w:lineRule="auto"/>
        <w:ind w:left="144"/>
        <w:rPr>
          <w:rFonts w:ascii="Arial" w:hAnsi="Arial" w:cs="Arial"/>
          <w:kern w:val="24"/>
        </w:rPr>
      </w:pPr>
      <w:r>
        <w:rPr>
          <w:rFonts w:ascii="Arial" w:hAnsi="Arial" w:cs="Arial"/>
          <w:kern w:val="24"/>
        </w:rPr>
        <w:t>P</w:t>
      </w:r>
      <w:r w:rsidRPr="000A7B69">
        <w:rPr>
          <w:rFonts w:ascii="Arial" w:hAnsi="Arial" w:cs="Arial"/>
          <w:kern w:val="24"/>
        </w:rPr>
        <w:t xml:space="preserve">revention strategies: stand down before procedures to ensure correct body part is marked as well as the correct side of the </w:t>
      </w:r>
      <w:proofErr w:type="gramStart"/>
      <w:r w:rsidRPr="000A7B69">
        <w:rPr>
          <w:rFonts w:ascii="Arial" w:hAnsi="Arial" w:cs="Arial"/>
          <w:kern w:val="24"/>
        </w:rPr>
        <w:t>body</w:t>
      </w:r>
      <w:proofErr w:type="gramEnd"/>
    </w:p>
    <w:p w14:paraId="56DAEBDA"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Preventable reasons for error</w:t>
      </w:r>
    </w:p>
    <w:p w14:paraId="2796FE56"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Joint Commission Goals</w:t>
      </w:r>
    </w:p>
    <w:p w14:paraId="66A7F18C" w14:textId="77777777" w:rsidR="000A7B69" w:rsidRPr="000A7B69" w:rsidRDefault="000A7B69" w:rsidP="000A7B69">
      <w:pPr>
        <w:autoSpaceDE w:val="0"/>
        <w:autoSpaceDN w:val="0"/>
        <w:adjustRightInd w:val="0"/>
        <w:spacing w:after="0" w:line="240" w:lineRule="auto"/>
        <w:rPr>
          <w:rFonts w:ascii="Arial" w:hAnsi="Arial" w:cs="Arial"/>
          <w:kern w:val="24"/>
        </w:rPr>
      </w:pPr>
      <w:r w:rsidRPr="000A7B69">
        <w:rPr>
          <w:rFonts w:ascii="Arial" w:hAnsi="Arial" w:cs="Arial"/>
          <w:kern w:val="24"/>
        </w:rPr>
        <w:t>Creating a culture of safety video</w:t>
      </w:r>
    </w:p>
    <w:p w14:paraId="53EA6C90"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u w:val="single"/>
        </w:rPr>
        <w:t>Annie's Story: How A System's Approach Can Change Safety Culture – YouTube</w:t>
      </w:r>
    </w:p>
    <w:p w14:paraId="6353AEF2"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1C6B6391"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Examples of medical errors</w:t>
      </w:r>
    </w:p>
    <w:p w14:paraId="5ED7697F" w14:textId="77777777" w:rsidR="000A7B69" w:rsidRPr="000A7B69" w:rsidRDefault="000A7B69" w:rsidP="000A7B69">
      <w:pPr>
        <w:numPr>
          <w:ilvl w:val="0"/>
          <w:numId w:val="7"/>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A physician ordered MBSS on an unresponsive patient without seeing them at bedside.  When transport came to pick up the patient, a medical response team alert was called. The patient was placed on BiPap and transferred to ICU.</w:t>
      </w:r>
    </w:p>
    <w:p w14:paraId="08F71358" w14:textId="77777777" w:rsidR="000A7B69" w:rsidRPr="000A7B69" w:rsidRDefault="000A7B69" w:rsidP="000A7B69">
      <w:pPr>
        <w:numPr>
          <w:ilvl w:val="0"/>
          <w:numId w:val="7"/>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When I called the physician to tell them the test could not be completed, he questioned WHY.  I explained that the patient needed to be:</w:t>
      </w:r>
    </w:p>
    <w:p w14:paraId="09ADC128" w14:textId="77777777" w:rsidR="000A7B69" w:rsidRPr="000A7B69" w:rsidRDefault="000A7B69" w:rsidP="000A7B69">
      <w:pPr>
        <w:numPr>
          <w:ilvl w:val="0"/>
          <w:numId w:val="7"/>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1. MEDICALLY STABLE</w:t>
      </w:r>
    </w:p>
    <w:p w14:paraId="69D7D91F" w14:textId="77777777" w:rsidR="000A7B69" w:rsidRPr="000A7B69" w:rsidRDefault="000A7B69" w:rsidP="000A7B69">
      <w:pPr>
        <w:numPr>
          <w:ilvl w:val="0"/>
          <w:numId w:val="7"/>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2. AWAKE/ALERT</w:t>
      </w:r>
    </w:p>
    <w:p w14:paraId="18B15FF1" w14:textId="77777777" w:rsidR="000A7B69" w:rsidRPr="000A7B69" w:rsidRDefault="000A7B69" w:rsidP="000A7B69">
      <w:pPr>
        <w:numPr>
          <w:ilvl w:val="0"/>
          <w:numId w:val="7"/>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3. ABLE TO COMMUNICATE (</w:t>
      </w:r>
      <w:proofErr w:type="spellStart"/>
      <w:proofErr w:type="gramStart"/>
      <w:r w:rsidRPr="000A7B69">
        <w:rPr>
          <w:rFonts w:ascii="Arial" w:hAnsi="Arial" w:cs="Arial"/>
          <w:kern w:val="24"/>
        </w:rPr>
        <w:t>non verbal</w:t>
      </w:r>
      <w:proofErr w:type="spellEnd"/>
      <w:proofErr w:type="gramEnd"/>
      <w:r w:rsidRPr="000A7B69">
        <w:rPr>
          <w:rFonts w:ascii="Arial" w:hAnsi="Arial" w:cs="Arial"/>
          <w:kern w:val="24"/>
        </w:rPr>
        <w:t xml:space="preserve"> or verbal communication)</w:t>
      </w:r>
    </w:p>
    <w:p w14:paraId="67BA66AE" w14:textId="77777777" w:rsidR="000A7B69" w:rsidRPr="000A7B69" w:rsidRDefault="000A7B69" w:rsidP="000A7B69">
      <w:pPr>
        <w:numPr>
          <w:ilvl w:val="0"/>
          <w:numId w:val="7"/>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He had NO IDEA that our patients needed to be AWAKE; he did not see “what difference that makes”. </w:t>
      </w:r>
    </w:p>
    <w:p w14:paraId="75022202"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Examples continued</w:t>
      </w:r>
    </w:p>
    <w:p w14:paraId="6DDFB025" w14:textId="77777777" w:rsidR="000A7B69" w:rsidRPr="000A7B69" w:rsidRDefault="000A7B69" w:rsidP="000A7B69">
      <w:pPr>
        <w:numPr>
          <w:ilvl w:val="0"/>
          <w:numId w:val="8"/>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On the same weekend, two different patients on the same unit:</w:t>
      </w:r>
    </w:p>
    <w:p w14:paraId="39755A60" w14:textId="77777777" w:rsidR="000A7B69" w:rsidRPr="000A7B69" w:rsidRDefault="000A7B69" w:rsidP="000A7B69">
      <w:pPr>
        <w:numPr>
          <w:ilvl w:val="0"/>
          <w:numId w:val="8"/>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1. Large bore NG tube was placed instead of SBFT/</w:t>
      </w:r>
      <w:proofErr w:type="spellStart"/>
      <w:r w:rsidRPr="000A7B69">
        <w:rPr>
          <w:rFonts w:ascii="Arial" w:hAnsi="Arial" w:cs="Arial"/>
          <w:kern w:val="24"/>
        </w:rPr>
        <w:t>Dobhoff</w:t>
      </w:r>
      <w:proofErr w:type="spellEnd"/>
      <w:r w:rsidRPr="000A7B69">
        <w:rPr>
          <w:rFonts w:ascii="Arial" w:hAnsi="Arial" w:cs="Arial"/>
          <w:kern w:val="24"/>
        </w:rPr>
        <w:t xml:space="preserve">; when the chest </w:t>
      </w:r>
      <w:proofErr w:type="spellStart"/>
      <w:r w:rsidRPr="000A7B69">
        <w:rPr>
          <w:rFonts w:ascii="Arial" w:hAnsi="Arial" w:cs="Arial"/>
          <w:kern w:val="24"/>
        </w:rPr>
        <w:t>xray</w:t>
      </w:r>
      <w:proofErr w:type="spellEnd"/>
      <w:r w:rsidRPr="000A7B69">
        <w:rPr>
          <w:rFonts w:ascii="Arial" w:hAnsi="Arial" w:cs="Arial"/>
          <w:kern w:val="24"/>
        </w:rPr>
        <w:t xml:space="preserve"> was completed, the tube was in the R lung with a guidewire visible that is not part of the NG tube, but a part of the </w:t>
      </w:r>
      <w:proofErr w:type="spellStart"/>
      <w:r w:rsidRPr="000A7B69">
        <w:rPr>
          <w:rFonts w:ascii="Arial" w:hAnsi="Arial" w:cs="Arial"/>
          <w:kern w:val="24"/>
        </w:rPr>
        <w:t>Dobhoff</w:t>
      </w:r>
      <w:proofErr w:type="spellEnd"/>
      <w:r w:rsidRPr="000A7B69">
        <w:rPr>
          <w:rFonts w:ascii="Arial" w:hAnsi="Arial" w:cs="Arial"/>
          <w:kern w:val="24"/>
        </w:rPr>
        <w:t xml:space="preserve"> tubing.  The chest </w:t>
      </w:r>
      <w:proofErr w:type="spellStart"/>
      <w:r w:rsidRPr="000A7B69">
        <w:rPr>
          <w:rFonts w:ascii="Arial" w:hAnsi="Arial" w:cs="Arial"/>
          <w:kern w:val="24"/>
        </w:rPr>
        <w:t>xray</w:t>
      </w:r>
      <w:proofErr w:type="spellEnd"/>
      <w:r w:rsidRPr="000A7B69">
        <w:rPr>
          <w:rFonts w:ascii="Arial" w:hAnsi="Arial" w:cs="Arial"/>
          <w:kern w:val="24"/>
        </w:rPr>
        <w:t xml:space="preserve"> sat overnight, with not one person who saw it questioning it.  </w:t>
      </w:r>
    </w:p>
    <w:p w14:paraId="6618F41B"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6659AAD7" w14:textId="77777777" w:rsidR="000A7B69" w:rsidRPr="000A7B69" w:rsidRDefault="000A7B69" w:rsidP="000A7B69">
      <w:pPr>
        <w:numPr>
          <w:ilvl w:val="0"/>
          <w:numId w:val="8"/>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2. SBFT/</w:t>
      </w:r>
      <w:proofErr w:type="spellStart"/>
      <w:r w:rsidRPr="000A7B69">
        <w:rPr>
          <w:rFonts w:ascii="Arial" w:hAnsi="Arial" w:cs="Arial"/>
          <w:kern w:val="24"/>
        </w:rPr>
        <w:t>Dobhoff</w:t>
      </w:r>
      <w:proofErr w:type="spellEnd"/>
      <w:r w:rsidRPr="000A7B69">
        <w:rPr>
          <w:rFonts w:ascii="Arial" w:hAnsi="Arial" w:cs="Arial"/>
          <w:kern w:val="24"/>
        </w:rPr>
        <w:t xml:space="preserve"> placement was completed.  Chest </w:t>
      </w:r>
      <w:proofErr w:type="spellStart"/>
      <w:r w:rsidRPr="000A7B69">
        <w:rPr>
          <w:rFonts w:ascii="Arial" w:hAnsi="Arial" w:cs="Arial"/>
          <w:kern w:val="24"/>
        </w:rPr>
        <w:t>xray</w:t>
      </w:r>
      <w:proofErr w:type="spellEnd"/>
      <w:r w:rsidRPr="000A7B69">
        <w:rPr>
          <w:rFonts w:ascii="Arial" w:hAnsi="Arial" w:cs="Arial"/>
          <w:kern w:val="24"/>
        </w:rPr>
        <w:t xml:space="preserve"> for verification/placement revealed it was in the lung.  Tube feedings were initiated per the physician and the patient wound up with “aspiration” pneumonia.  Was this a true “aspiration” due to dysphagia?</w:t>
      </w:r>
    </w:p>
    <w:p w14:paraId="18FBDDB0" w14:textId="77777777" w:rsidR="000A7B69" w:rsidRPr="000A7B69" w:rsidRDefault="000A7B69" w:rsidP="000A7B69">
      <w:pPr>
        <w:numPr>
          <w:ilvl w:val="0"/>
          <w:numId w:val="2"/>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lastRenderedPageBreak/>
        <w:t>More examples</w:t>
      </w:r>
    </w:p>
    <w:p w14:paraId="11746BC7" w14:textId="77777777" w:rsidR="000A7B69" w:rsidRPr="000A7B69" w:rsidRDefault="000A7B69" w:rsidP="000A7B69">
      <w:pPr>
        <w:numPr>
          <w:ilvl w:val="0"/>
          <w:numId w:val="4"/>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Outpatient came in for a MBSS.  He began to share his story:</w:t>
      </w:r>
    </w:p>
    <w:p w14:paraId="3A5765AB" w14:textId="77777777" w:rsidR="000A7B69" w:rsidRPr="000A7B69" w:rsidRDefault="000A7B69" w:rsidP="000A7B69">
      <w:pPr>
        <w:numPr>
          <w:ilvl w:val="0"/>
          <w:numId w:val="4"/>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He had a history of oral cancer and had completed a minor surgical resection/radiation.  Was doing well, but started to feel like something was “off” when he was chewing.  He went back to the ENT and his oncologist, both successfully treating him before.  They both told him it was sensation changes and never did any imaging.  The ENT “looked” in his mouth and told him </w:t>
      </w:r>
      <w:proofErr w:type="gramStart"/>
      <w:r w:rsidRPr="000A7B69">
        <w:rPr>
          <w:rFonts w:ascii="Arial" w:hAnsi="Arial" w:cs="Arial"/>
          <w:kern w:val="24"/>
        </w:rPr>
        <w:t>“everything</w:t>
      </w:r>
      <w:proofErr w:type="gramEnd"/>
      <w:r w:rsidRPr="000A7B69">
        <w:rPr>
          <w:rFonts w:ascii="Arial" w:hAnsi="Arial" w:cs="Arial"/>
          <w:kern w:val="24"/>
        </w:rPr>
        <w:t xml:space="preserve"> looks fine”.  3-4 months passed and the patient went in for routine dental cleaning.  His dentist started asking him if he felt the “growth” on the base of his tongue.  The dentist referred him back to ENT.  The patient decided he would seek a different ENT.  Turns out he had stage 3 lingual cancer with parotid involvement.  Treatment was initiated and the tumor was gone by the time I saw him.  </w:t>
      </w:r>
    </w:p>
    <w:p w14:paraId="45E429B0" w14:textId="77777777" w:rsidR="000A7B69" w:rsidRPr="000A7B69" w:rsidRDefault="000A7B69" w:rsidP="000A7B69">
      <w:pPr>
        <w:numPr>
          <w:ilvl w:val="0"/>
          <w:numId w:val="2"/>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Nursing error</w:t>
      </w:r>
    </w:p>
    <w:p w14:paraId="5D20133C"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On the same weekend:</w:t>
      </w:r>
    </w:p>
    <w:p w14:paraId="328EDDE2"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2 different patients had routine labs drawn while in acute care.  The tourniquet was left on overnight.  Both patients complained of pain/swelling after.  Both were confirmed to have deep vein thrombosis (DVT).  </w:t>
      </w:r>
    </w:p>
    <w:p w14:paraId="2DE2EEF6"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75F60E42"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This was preventable. There are already steps in place/processes that were not followed.</w:t>
      </w:r>
    </w:p>
    <w:p w14:paraId="0F7057B9"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“Homemade” mixtures during MBSS</w:t>
      </w:r>
    </w:p>
    <w:p w14:paraId="63E201D6" w14:textId="77777777" w:rsidR="000A7B69" w:rsidRPr="000A7B69" w:rsidRDefault="000A7B69" w:rsidP="000A7B69">
      <w:pPr>
        <w:autoSpaceDE w:val="0"/>
        <w:autoSpaceDN w:val="0"/>
        <w:adjustRightInd w:val="0"/>
        <w:spacing w:after="0" w:line="240" w:lineRule="auto"/>
        <w:ind w:left="144"/>
        <w:rPr>
          <w:rFonts w:ascii="Arial" w:hAnsi="Arial" w:cs="Arial"/>
          <w:kern w:val="24"/>
        </w:rPr>
      </w:pPr>
      <w:r w:rsidRPr="000A7B69">
        <w:rPr>
          <w:rFonts w:ascii="Arial" w:hAnsi="Arial" w:cs="Arial"/>
          <w:kern w:val="24"/>
        </w:rPr>
        <w:t>Dr. Bonnie Martin-Harris and colleagues</w:t>
      </w:r>
    </w:p>
    <w:p w14:paraId="706D6055"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“Currently, </w:t>
      </w:r>
      <w:proofErr w:type="spellStart"/>
      <w:r w:rsidRPr="000A7B69">
        <w:rPr>
          <w:rFonts w:ascii="Arial" w:hAnsi="Arial" w:cs="Arial"/>
          <w:kern w:val="24"/>
        </w:rPr>
        <w:t>Varibar</w:t>
      </w:r>
      <w:proofErr w:type="spellEnd"/>
      <w:r w:rsidRPr="000A7B69">
        <w:rPr>
          <w:rFonts w:ascii="Arial" w:hAnsi="Arial" w:cs="Arial"/>
          <w:kern w:val="24"/>
        </w:rPr>
        <w:t xml:space="preserve"> (Bracco Diagnostics Inc.) is the only Food and Drug Administration–approved contrast agent available in the United States that is specifically indicated for the MBSS (VARIBAR HONEY, 2018; VARIBAR NECTAR, 2018; VARIBAR PUDDING, 2016; VARIBAR THIN HONEY, 2018; VARIBAR THIN LIQUID, 2019). </w:t>
      </w:r>
      <w:proofErr w:type="spellStart"/>
      <w:r w:rsidRPr="000A7B69">
        <w:rPr>
          <w:rFonts w:ascii="Arial" w:hAnsi="Arial" w:cs="Arial"/>
          <w:kern w:val="24"/>
        </w:rPr>
        <w:t>Varibar</w:t>
      </w:r>
      <w:proofErr w:type="spellEnd"/>
      <w:r w:rsidRPr="000A7B69">
        <w:rPr>
          <w:rFonts w:ascii="Arial" w:hAnsi="Arial" w:cs="Arial"/>
          <w:kern w:val="24"/>
        </w:rPr>
        <w:t xml:space="preserve"> was designed with the most suitable radiodensity for fluoroscopic evaluation of the oropharyngeal region and formulated such that it does not coat the mucosal lining of the pharynx (Robbins et al., 2002).”</w:t>
      </w:r>
    </w:p>
    <w:p w14:paraId="2F1584CE" w14:textId="77777777" w:rsidR="000A7B69" w:rsidRPr="000A7B69" w:rsidRDefault="000A7B69" w:rsidP="000A7B69">
      <w:pPr>
        <w:pStyle w:val="ListParagraph"/>
        <w:numPr>
          <w:ilvl w:val="0"/>
          <w:numId w:val="13"/>
        </w:numPr>
        <w:autoSpaceDE w:val="0"/>
        <w:autoSpaceDN w:val="0"/>
        <w:adjustRightInd w:val="0"/>
        <w:spacing w:after="0" w:line="240" w:lineRule="auto"/>
        <w:rPr>
          <w:rFonts w:ascii="Arial" w:hAnsi="Arial" w:cs="Arial"/>
          <w:kern w:val="24"/>
        </w:rPr>
      </w:pPr>
      <w:r w:rsidRPr="000A7B69">
        <w:rPr>
          <w:rFonts w:ascii="Arial" w:hAnsi="Arial" w:cs="Arial"/>
          <w:kern w:val="24"/>
        </w:rPr>
        <w:t>We don’t have evidence to prove what happens to the barium suspension if we add something else.</w:t>
      </w:r>
    </w:p>
    <w:p w14:paraId="392845DE" w14:textId="77777777" w:rsidR="000A7B69" w:rsidRDefault="000A7B69" w:rsidP="000A7B69">
      <w:pPr>
        <w:autoSpaceDE w:val="0"/>
        <w:autoSpaceDN w:val="0"/>
        <w:adjustRightInd w:val="0"/>
        <w:spacing w:after="0" w:line="240" w:lineRule="auto"/>
        <w:ind w:left="144"/>
        <w:rPr>
          <w:rFonts w:ascii="Arial" w:hAnsi="Arial" w:cs="Arial"/>
          <w:kern w:val="24"/>
        </w:rPr>
      </w:pPr>
    </w:p>
    <w:p w14:paraId="6794AA46" w14:textId="11EFD76E" w:rsidR="000A7B69" w:rsidRPr="000A7B69" w:rsidRDefault="000A7B69" w:rsidP="000A7B69">
      <w:pPr>
        <w:autoSpaceDE w:val="0"/>
        <w:autoSpaceDN w:val="0"/>
        <w:adjustRightInd w:val="0"/>
        <w:spacing w:after="0" w:line="240" w:lineRule="auto"/>
        <w:ind w:left="144"/>
        <w:rPr>
          <w:rFonts w:ascii="Arial" w:hAnsi="Arial" w:cs="Arial"/>
          <w:kern w:val="24"/>
        </w:rPr>
      </w:pPr>
      <w:r w:rsidRPr="000A7B69">
        <w:rPr>
          <w:rFonts w:ascii="Arial" w:hAnsi="Arial" w:cs="Arial"/>
          <w:kern w:val="24"/>
        </w:rPr>
        <w:t>Root Cause Analysis</w:t>
      </w:r>
    </w:p>
    <w:p w14:paraId="4D553EA8"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Why?</w:t>
      </w:r>
    </w:p>
    <w:p w14:paraId="5A519D34"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Breaks down the “holes” in the system.</w:t>
      </w:r>
    </w:p>
    <w:p w14:paraId="0808BC7F"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lastRenderedPageBreak/>
        <w:t>More importantly, participants need to understand the work being done.</w:t>
      </w:r>
    </w:p>
    <w:p w14:paraId="5233F721"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2E9C8029"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Identifies the problem.</w:t>
      </w:r>
    </w:p>
    <w:p w14:paraId="44ED7033"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Uses 5 WHYs </w:t>
      </w:r>
    </w:p>
    <w:p w14:paraId="63F61D0E"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73C59BB1"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Fishbone diagram</w:t>
      </w:r>
    </w:p>
    <w:p w14:paraId="7EF2CDEF"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How to use the 5 WHYs</w:t>
      </w:r>
    </w:p>
    <w:p w14:paraId="43D334BF"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 xml:space="preserve">Identify the </w:t>
      </w:r>
      <w:proofErr w:type="gramStart"/>
      <w:r w:rsidRPr="000A7B69">
        <w:rPr>
          <w:rFonts w:ascii="Arial" w:hAnsi="Arial" w:cs="Arial"/>
          <w:kern w:val="24"/>
        </w:rPr>
        <w:t>problem</w:t>
      </w:r>
      <w:proofErr w:type="gramEnd"/>
    </w:p>
    <w:p w14:paraId="189B6505"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Why did it happen?</w:t>
      </w:r>
    </w:p>
    <w:p w14:paraId="1C7F3E4B"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Why?</w:t>
      </w:r>
    </w:p>
    <w:p w14:paraId="5885960A"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Why?</w:t>
      </w:r>
    </w:p>
    <w:p w14:paraId="17D9F2D3"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Why?</w:t>
      </w:r>
    </w:p>
    <w:p w14:paraId="1F453F6D"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Why?</w:t>
      </w:r>
    </w:p>
    <w:p w14:paraId="3E9F09F8"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This identifies countermeasures/solutions.</w:t>
      </w:r>
    </w:p>
    <w:p w14:paraId="764E52F8"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u w:val="single"/>
        </w:rPr>
        <w:t>Using the 5 Whys Worksheet - YouTube</w:t>
      </w:r>
    </w:p>
    <w:p w14:paraId="35D1F92B" w14:textId="77777777" w:rsidR="000A7B69" w:rsidRPr="000A7B69" w:rsidRDefault="000A7B69" w:rsidP="000A7B69">
      <w:pPr>
        <w:numPr>
          <w:ilvl w:val="0"/>
          <w:numId w:val="2"/>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Fishbone Diagram</w:t>
      </w:r>
    </w:p>
    <w:p w14:paraId="5350B0E0"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u w:val="single"/>
        </w:rPr>
        <w:t xml:space="preserve">Why A Fishbone Diagram Can Help Solve Risk </w:t>
      </w:r>
      <w:proofErr w:type="gramStart"/>
      <w:r w:rsidRPr="000A7B69">
        <w:rPr>
          <w:rFonts w:ascii="Arial" w:hAnsi="Arial" w:cs="Arial"/>
          <w:kern w:val="24"/>
          <w:u w:val="single"/>
        </w:rPr>
        <w:t>And</w:t>
      </w:r>
      <w:proofErr w:type="gramEnd"/>
      <w:r w:rsidRPr="000A7B69">
        <w:rPr>
          <w:rFonts w:ascii="Arial" w:hAnsi="Arial" w:cs="Arial"/>
          <w:kern w:val="24"/>
          <w:u w:val="single"/>
        </w:rPr>
        <w:t xml:space="preserve"> Quality Problems – YouTube</w:t>
      </w:r>
    </w:p>
    <w:p w14:paraId="599E5B70"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2B26BE44" w14:textId="77777777" w:rsidR="000A7B69" w:rsidRPr="000A7B69" w:rsidRDefault="000A7B69" w:rsidP="000A7B69">
      <w:pPr>
        <w:numPr>
          <w:ilvl w:val="0"/>
          <w:numId w:val="2"/>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How to empower yourself and your patients</w:t>
      </w:r>
      <w:r w:rsidRPr="000A7B69">
        <w:rPr>
          <w:rFonts w:ascii="Arial" w:hAnsi="Arial" w:cs="Arial"/>
          <w:kern w:val="24"/>
        </w:rPr>
        <w:tab/>
      </w:r>
    </w:p>
    <w:p w14:paraId="085E03BC"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1. Provide education – give the patients and their families/caregivers the name of the diagnosis within our scope of practice (aphasia, dysarthria, cognitive linguistic disorder, pediatric feeding disorder, etc.)</w:t>
      </w:r>
    </w:p>
    <w:p w14:paraId="19C1EC49"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2. Seek out education for yourself and your professional practice</w:t>
      </w:r>
    </w:p>
    <w:p w14:paraId="3F926DB5"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3. Review your consumer educational materials – health literacy – only ~12% of adults in the U.S. are considered “highly proficient” in medical terminology</w:t>
      </w:r>
    </w:p>
    <w:p w14:paraId="6F8793A4"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3F37E115"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Health Literacy</w:t>
      </w:r>
    </w:p>
    <w:p w14:paraId="5DC2A8AF" w14:textId="77777777" w:rsidR="000A7B69" w:rsidRPr="000A7B69" w:rsidRDefault="000A7B69" w:rsidP="000A7B69">
      <w:pPr>
        <w:numPr>
          <w:ilvl w:val="0"/>
          <w:numId w:val="1"/>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u w:val="single"/>
        </w:rPr>
        <w:lastRenderedPageBreak/>
        <w:t>Health Literacy Universal Precautions Toolkit, 3rd Edition | Agency for Healthcare Research and Quality (ahrq.gov)</w:t>
      </w:r>
    </w:p>
    <w:p w14:paraId="0FCE3B69" w14:textId="77777777" w:rsidR="000A7B69" w:rsidRPr="000A7B69" w:rsidRDefault="000A7B69" w:rsidP="000A7B69">
      <w:pPr>
        <w:numPr>
          <w:ilvl w:val="0"/>
          <w:numId w:val="10"/>
        </w:numPr>
        <w:autoSpaceDE w:val="0"/>
        <w:autoSpaceDN w:val="0"/>
        <w:adjustRightInd w:val="0"/>
        <w:spacing w:after="0" w:line="240" w:lineRule="auto"/>
        <w:ind w:left="144" w:hanging="144"/>
        <w:rPr>
          <w:rFonts w:ascii="Arial" w:hAnsi="Arial" w:cs="Arial"/>
          <w:kern w:val="24"/>
        </w:rPr>
      </w:pPr>
      <w:r w:rsidRPr="000A7B69">
        <w:rPr>
          <w:rFonts w:ascii="Arial" w:hAnsi="Arial" w:cs="Arial"/>
          <w:kern w:val="24"/>
        </w:rPr>
        <w:t>Medical jargon</w:t>
      </w:r>
    </w:p>
    <w:p w14:paraId="75C9EBF4" w14:textId="77777777" w:rsidR="000A7B69" w:rsidRPr="000A7B69" w:rsidRDefault="000A7B69" w:rsidP="000A7B69">
      <w:pPr>
        <w:autoSpaceDE w:val="0"/>
        <w:autoSpaceDN w:val="0"/>
        <w:adjustRightInd w:val="0"/>
        <w:spacing w:after="0" w:line="240" w:lineRule="auto"/>
        <w:ind w:left="144"/>
        <w:rPr>
          <w:rFonts w:ascii="Arial" w:hAnsi="Arial" w:cs="Arial"/>
          <w:kern w:val="24"/>
        </w:rPr>
      </w:pPr>
      <w:r w:rsidRPr="000A7B69">
        <w:rPr>
          <w:rFonts w:ascii="Arial" w:hAnsi="Arial" w:cs="Arial"/>
          <w:kern w:val="24"/>
        </w:rPr>
        <w:t>Use of medical jargon</w:t>
      </w:r>
    </w:p>
    <w:p w14:paraId="5E6DF469" w14:textId="77777777" w:rsidR="000A7B69" w:rsidRPr="000A7B69" w:rsidRDefault="000A7B69" w:rsidP="000A7B69">
      <w:pPr>
        <w:autoSpaceDE w:val="0"/>
        <w:autoSpaceDN w:val="0"/>
        <w:adjustRightInd w:val="0"/>
        <w:spacing w:after="0" w:line="240" w:lineRule="auto"/>
        <w:ind w:left="144"/>
        <w:rPr>
          <w:rFonts w:ascii="Arial" w:hAnsi="Arial" w:cs="Arial"/>
          <w:kern w:val="24"/>
        </w:rPr>
      </w:pPr>
      <w:r w:rsidRPr="000A7B69">
        <w:rPr>
          <w:rFonts w:ascii="Arial" w:hAnsi="Arial" w:cs="Arial"/>
          <w:kern w:val="24"/>
        </w:rPr>
        <w:t xml:space="preserve">Avoid overuse of “medical </w:t>
      </w:r>
      <w:proofErr w:type="gramStart"/>
      <w:r w:rsidRPr="000A7B69">
        <w:rPr>
          <w:rFonts w:ascii="Arial" w:hAnsi="Arial" w:cs="Arial"/>
          <w:kern w:val="24"/>
        </w:rPr>
        <w:t>words”</w:t>
      </w:r>
      <w:proofErr w:type="gramEnd"/>
    </w:p>
    <w:p w14:paraId="3B465B41"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152790CD" w14:textId="77777777" w:rsidR="000A7B69" w:rsidRPr="000A7B69" w:rsidRDefault="000A7B69" w:rsidP="000A7B69">
      <w:pPr>
        <w:autoSpaceDE w:val="0"/>
        <w:autoSpaceDN w:val="0"/>
        <w:adjustRightInd w:val="0"/>
        <w:spacing w:after="0" w:line="240" w:lineRule="auto"/>
        <w:ind w:left="144"/>
        <w:rPr>
          <w:rFonts w:ascii="Arial" w:hAnsi="Arial" w:cs="Arial"/>
          <w:kern w:val="24"/>
        </w:rPr>
      </w:pPr>
      <w:r w:rsidRPr="000A7B69">
        <w:rPr>
          <w:rFonts w:ascii="Arial" w:hAnsi="Arial" w:cs="Arial"/>
          <w:kern w:val="24"/>
        </w:rPr>
        <w:t>Don’t just give the diagnosis! Explain in everyday terms what that means.</w:t>
      </w:r>
    </w:p>
    <w:p w14:paraId="29EAC730" w14:textId="77777777" w:rsidR="000A7B69" w:rsidRPr="000A7B69" w:rsidRDefault="000A7B69" w:rsidP="000A7B69">
      <w:pPr>
        <w:numPr>
          <w:ilvl w:val="0"/>
          <w:numId w:val="1"/>
        </w:numPr>
        <w:autoSpaceDE w:val="0"/>
        <w:autoSpaceDN w:val="0"/>
        <w:adjustRightInd w:val="0"/>
        <w:spacing w:after="0" w:line="240" w:lineRule="auto"/>
        <w:ind w:left="547" w:hanging="540"/>
        <w:rPr>
          <w:rFonts w:ascii="Arial" w:hAnsi="Arial" w:cs="Arial"/>
          <w:kern w:val="24"/>
        </w:rPr>
      </w:pPr>
      <w:r w:rsidRPr="000A7B69">
        <w:rPr>
          <w:rFonts w:ascii="Arial" w:hAnsi="Arial" w:cs="Arial"/>
          <w:kern w:val="24"/>
        </w:rPr>
        <w:t xml:space="preserve">“Sometimes you might notice your grandma can’t find the right word.  That is called aphasia.  She can understand what you are </w:t>
      </w:r>
      <w:proofErr w:type="gramStart"/>
      <w:r w:rsidRPr="000A7B69">
        <w:rPr>
          <w:rFonts w:ascii="Arial" w:hAnsi="Arial" w:cs="Arial"/>
          <w:kern w:val="24"/>
        </w:rPr>
        <w:t>saying;</w:t>
      </w:r>
      <w:proofErr w:type="gramEnd"/>
      <w:r w:rsidRPr="000A7B69">
        <w:rPr>
          <w:rFonts w:ascii="Arial" w:hAnsi="Arial" w:cs="Arial"/>
          <w:kern w:val="24"/>
        </w:rPr>
        <w:t xml:space="preserve"> but sometimes she knows the right word to say, but it gets stuck or disappears from her memory before she can say it.”</w:t>
      </w:r>
    </w:p>
    <w:p w14:paraId="2EE8578D" w14:textId="77777777" w:rsidR="000A7B69" w:rsidRPr="000A7B69" w:rsidRDefault="000A7B69" w:rsidP="000A7B69">
      <w:pPr>
        <w:autoSpaceDE w:val="0"/>
        <w:autoSpaceDN w:val="0"/>
        <w:adjustRightInd w:val="0"/>
        <w:spacing w:after="0" w:line="240" w:lineRule="auto"/>
        <w:ind w:left="547" w:hanging="540"/>
        <w:rPr>
          <w:rFonts w:ascii="Arial" w:hAnsi="Arial" w:cs="Arial"/>
          <w:kern w:val="24"/>
        </w:rPr>
      </w:pPr>
    </w:p>
    <w:p w14:paraId="4698BDC3" w14:textId="6834737B" w:rsidR="000A7B69" w:rsidRPr="000A7B69" w:rsidRDefault="000A7B69" w:rsidP="000A7B69">
      <w:pPr>
        <w:autoSpaceDE w:val="0"/>
        <w:autoSpaceDN w:val="0"/>
        <w:adjustRightInd w:val="0"/>
        <w:spacing w:after="0" w:line="240" w:lineRule="auto"/>
        <w:ind w:left="144"/>
        <w:rPr>
          <w:rFonts w:ascii="Arial" w:hAnsi="Arial" w:cs="Arial"/>
          <w:kern w:val="24"/>
        </w:rPr>
      </w:pPr>
      <w:r>
        <w:rPr>
          <w:rFonts w:ascii="Arial" w:hAnsi="Arial" w:cs="Arial"/>
          <w:kern w:val="24"/>
        </w:rPr>
        <w:t>R</w:t>
      </w:r>
      <w:r w:rsidRPr="000A7B69">
        <w:rPr>
          <w:rFonts w:ascii="Arial" w:hAnsi="Arial" w:cs="Arial"/>
          <w:kern w:val="24"/>
        </w:rPr>
        <w:t>eferences</w:t>
      </w:r>
    </w:p>
    <w:p w14:paraId="6CB4B66E" w14:textId="77777777" w:rsidR="000A7B69" w:rsidRPr="000A7B69" w:rsidRDefault="000A7B69" w:rsidP="000A7B69">
      <w:pPr>
        <w:numPr>
          <w:ilvl w:val="0"/>
          <w:numId w:val="11"/>
        </w:numPr>
        <w:autoSpaceDE w:val="0"/>
        <w:autoSpaceDN w:val="0"/>
        <w:adjustRightInd w:val="0"/>
        <w:spacing w:after="0" w:line="240" w:lineRule="auto"/>
        <w:ind w:hanging="144"/>
        <w:rPr>
          <w:rFonts w:ascii="Arial" w:hAnsi="Arial" w:cs="Arial"/>
          <w:kern w:val="24"/>
        </w:rPr>
      </w:pPr>
      <w:r w:rsidRPr="000A7B69">
        <w:rPr>
          <w:rFonts w:ascii="Arial" w:hAnsi="Arial" w:cs="Arial"/>
          <w:kern w:val="24"/>
        </w:rPr>
        <w:t xml:space="preserve">“Annie’s story: How a system’s approach can change safety culture”, retrieved from YouTube, </w:t>
      </w:r>
      <w:proofErr w:type="gramStart"/>
      <w:r w:rsidRPr="000A7B69">
        <w:rPr>
          <w:rFonts w:ascii="Arial" w:hAnsi="Arial" w:cs="Arial"/>
          <w:kern w:val="24"/>
        </w:rPr>
        <w:t>June,</w:t>
      </w:r>
      <w:proofErr w:type="gramEnd"/>
      <w:r w:rsidRPr="000A7B69">
        <w:rPr>
          <w:rFonts w:ascii="Arial" w:hAnsi="Arial" w:cs="Arial"/>
          <w:kern w:val="24"/>
        </w:rPr>
        <w:t xml:space="preserve"> 2022.</w:t>
      </w:r>
    </w:p>
    <w:p w14:paraId="6BC79CEF" w14:textId="77777777" w:rsidR="000A7B69" w:rsidRPr="000A7B69" w:rsidRDefault="000A7B69" w:rsidP="000A7B69">
      <w:pPr>
        <w:autoSpaceDE w:val="0"/>
        <w:autoSpaceDN w:val="0"/>
        <w:adjustRightInd w:val="0"/>
        <w:spacing w:after="0" w:line="240" w:lineRule="auto"/>
        <w:ind w:hanging="144"/>
        <w:rPr>
          <w:rFonts w:ascii="Arial" w:hAnsi="Arial" w:cs="Arial"/>
          <w:kern w:val="24"/>
        </w:rPr>
      </w:pPr>
    </w:p>
    <w:p w14:paraId="19E0E7E2" w14:textId="77777777" w:rsidR="000A7B69" w:rsidRPr="000A7B69" w:rsidRDefault="000A7B69" w:rsidP="000A7B69">
      <w:pPr>
        <w:autoSpaceDE w:val="0"/>
        <w:autoSpaceDN w:val="0"/>
        <w:adjustRightInd w:val="0"/>
        <w:spacing w:after="0" w:line="240" w:lineRule="auto"/>
        <w:rPr>
          <w:rFonts w:ascii="Arial" w:eastAsia="Times New Roman" w:hAnsi="Arial" w:cs="Arial"/>
          <w:kern w:val="24"/>
        </w:rPr>
      </w:pPr>
      <w:r w:rsidRPr="000A7B69">
        <w:rPr>
          <w:rFonts w:ascii="Arial" w:hAnsi="Arial" w:cs="Arial"/>
          <w:kern w:val="24"/>
        </w:rPr>
        <w:t>Health Literacy Universal Precautions Toolkit, 2nd Edition. Content last reviewed September 2020. Agency for Healthcare Research and Quality, Rockville, MD.</w:t>
      </w:r>
      <w:r w:rsidRPr="000A7B69">
        <w:rPr>
          <w:rFonts w:ascii="Arial" w:hAnsi="Arial" w:cs="Arial"/>
          <w:kern w:val="24"/>
        </w:rPr>
        <w:br/>
        <w:t>https://www.ahrq.gov/health-literacy/improve/precautions/toolkit.html</w:t>
      </w:r>
    </w:p>
    <w:p w14:paraId="642C85CB"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rPr>
      </w:pPr>
    </w:p>
    <w:p w14:paraId="1B159B88"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Hines S, Kynoch K, Khalil H. Effectiveness of interventions to prevent medication errors: an umbrella systematic review protocol. JBI Database System Rev Implement Rep. 2018 Feb;16(2):291-296. - </w:t>
      </w:r>
      <w:r w:rsidRPr="000A7B69">
        <w:rPr>
          <w:rFonts w:ascii="Arial" w:eastAsia="Times New Roman" w:hAnsi="Arial" w:cs="Arial"/>
          <w:kern w:val="24"/>
          <w:u w:val="single"/>
        </w:rPr>
        <w:t>PubMed</w:t>
      </w:r>
    </w:p>
    <w:p w14:paraId="26FC81A1"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4005D36E"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xml:space="preserve">Kellogg KM, Hettinger Z, Shah M, Wears RL, Sellers CR, Squires M, Fairbanks RJ. Our current approach to root cause analysis: is it contributing to our failure to improve patient safety? BMJ Qual </w:t>
      </w:r>
      <w:proofErr w:type="spellStart"/>
      <w:r w:rsidRPr="000A7B69">
        <w:rPr>
          <w:rFonts w:ascii="Arial" w:eastAsia="Times New Roman" w:hAnsi="Arial" w:cs="Arial"/>
          <w:kern w:val="24"/>
        </w:rPr>
        <w:t>Saf</w:t>
      </w:r>
      <w:proofErr w:type="spellEnd"/>
      <w:r w:rsidRPr="000A7B69">
        <w:rPr>
          <w:rFonts w:ascii="Arial" w:eastAsia="Times New Roman" w:hAnsi="Arial" w:cs="Arial"/>
          <w:kern w:val="24"/>
        </w:rPr>
        <w:t>. 2017 May;26(5):381-387. - </w:t>
      </w:r>
      <w:r w:rsidRPr="000A7B69">
        <w:rPr>
          <w:rFonts w:ascii="Arial" w:eastAsia="Times New Roman" w:hAnsi="Arial" w:cs="Arial"/>
          <w:kern w:val="24"/>
          <w:u w:val="single"/>
        </w:rPr>
        <w:t>PubMed</w:t>
      </w:r>
    </w:p>
    <w:p w14:paraId="3A8D09EA"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4FC21F83"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u w:val="single"/>
        </w:rPr>
      </w:pPr>
      <w:r w:rsidRPr="000A7B69">
        <w:rPr>
          <w:rFonts w:ascii="Arial" w:eastAsia="Times New Roman" w:hAnsi="Arial" w:cs="Arial"/>
          <w:kern w:val="24"/>
        </w:rPr>
        <w:t xml:space="preserve">La Pietra L, Calligaris L, Molendini L, Quattrin R, </w:t>
      </w:r>
      <w:proofErr w:type="spellStart"/>
      <w:r w:rsidRPr="000A7B69">
        <w:rPr>
          <w:rFonts w:ascii="Arial" w:eastAsia="Times New Roman" w:hAnsi="Arial" w:cs="Arial"/>
          <w:kern w:val="24"/>
        </w:rPr>
        <w:t>Brusaferro</w:t>
      </w:r>
      <w:proofErr w:type="spellEnd"/>
      <w:r w:rsidRPr="000A7B69">
        <w:rPr>
          <w:rFonts w:ascii="Arial" w:eastAsia="Times New Roman" w:hAnsi="Arial" w:cs="Arial"/>
          <w:kern w:val="24"/>
        </w:rPr>
        <w:t xml:space="preserve"> S. Medical </w:t>
      </w:r>
      <w:proofErr w:type="gramStart"/>
      <w:r w:rsidRPr="000A7B69">
        <w:rPr>
          <w:rFonts w:ascii="Arial" w:eastAsia="Times New Roman" w:hAnsi="Arial" w:cs="Arial"/>
          <w:kern w:val="24"/>
        </w:rPr>
        <w:t>errors</w:t>
      </w:r>
      <w:proofErr w:type="gramEnd"/>
      <w:r w:rsidRPr="000A7B69">
        <w:rPr>
          <w:rFonts w:ascii="Arial" w:eastAsia="Times New Roman" w:hAnsi="Arial" w:cs="Arial"/>
          <w:kern w:val="24"/>
        </w:rPr>
        <w:t xml:space="preserve"> and clinical risk management: state of the art. Acta Otorhinolaryngol Ital. 2005 Dec;25(6):339-46. - </w:t>
      </w:r>
      <w:r w:rsidRPr="000A7B69">
        <w:rPr>
          <w:rFonts w:ascii="Arial" w:eastAsia="Times New Roman" w:hAnsi="Arial" w:cs="Arial"/>
          <w:kern w:val="24"/>
          <w:u w:val="single"/>
        </w:rPr>
        <w:t>PMC </w:t>
      </w:r>
      <w:r w:rsidRPr="000A7B69">
        <w:rPr>
          <w:rFonts w:ascii="Arial" w:eastAsia="Times New Roman" w:hAnsi="Arial" w:cs="Arial"/>
          <w:kern w:val="24"/>
        </w:rPr>
        <w:t>- </w:t>
      </w:r>
      <w:r w:rsidRPr="000A7B69">
        <w:rPr>
          <w:rFonts w:ascii="Arial" w:eastAsia="Times New Roman" w:hAnsi="Arial" w:cs="Arial"/>
          <w:kern w:val="24"/>
          <w:u w:val="single"/>
        </w:rPr>
        <w:t>PubMed</w:t>
      </w:r>
    </w:p>
    <w:p w14:paraId="653FC5B2"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u w:val="single"/>
        </w:rPr>
      </w:pPr>
    </w:p>
    <w:p w14:paraId="5A902716"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LeBlanc, T., et.al. Patient understanding of medical jargon: A survey study of U.S. medical students,</w:t>
      </w:r>
    </w:p>
    <w:p w14:paraId="673866A2"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xml:space="preserve">Patient Education and Counseling. 2014; 95(2): 238-242. ISSN 0738-3991, </w:t>
      </w:r>
      <w:r w:rsidRPr="000A7B69">
        <w:rPr>
          <w:rFonts w:ascii="Arial" w:eastAsia="Times New Roman" w:hAnsi="Arial" w:cs="Arial"/>
          <w:kern w:val="24"/>
          <w:u w:val="single"/>
        </w:rPr>
        <w:t>https://doi.org/10.1016/j.pec.2014.01.014</w:t>
      </w:r>
      <w:r w:rsidRPr="000A7B69">
        <w:rPr>
          <w:rFonts w:ascii="Arial" w:eastAsia="Times New Roman" w:hAnsi="Arial" w:cs="Arial"/>
          <w:kern w:val="24"/>
        </w:rPr>
        <w:t>.</w:t>
      </w:r>
    </w:p>
    <w:p w14:paraId="79C6476A"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rPr>
      </w:pPr>
    </w:p>
    <w:p w14:paraId="46AEA34C"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Martin-Harris, B. et.al. Best Practices in Modified Barium Swallow Studies. AJSLP. July 2020, 29: 1078-1093.</w:t>
      </w:r>
    </w:p>
    <w:p w14:paraId="34BB62C4"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rPr>
      </w:pPr>
    </w:p>
    <w:p w14:paraId="13C8CFF9"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lastRenderedPageBreak/>
        <w:t xml:space="preserve">Martin-Harris, B. et.al. The Modified Barium Swallow Study for Oropharyngeal Dysphagia: Recommendations from an Interdisciplinary </w:t>
      </w:r>
      <w:proofErr w:type="gramStart"/>
      <w:r w:rsidRPr="000A7B69">
        <w:rPr>
          <w:rFonts w:ascii="Arial" w:eastAsia="Times New Roman" w:hAnsi="Arial" w:cs="Arial"/>
          <w:kern w:val="24"/>
        </w:rPr>
        <w:t>Expert  Panel</w:t>
      </w:r>
      <w:proofErr w:type="gramEnd"/>
      <w:r w:rsidRPr="000A7B69">
        <w:rPr>
          <w:rFonts w:ascii="Arial" w:eastAsia="Times New Roman" w:hAnsi="Arial" w:cs="Arial"/>
          <w:kern w:val="24"/>
        </w:rPr>
        <w:t xml:space="preserve">. 2021. Perspectives of the ASHA Special Interest Groups. SIG 13. 1-10. </w:t>
      </w:r>
    </w:p>
    <w:p w14:paraId="19DF43F9"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rPr>
      </w:pPr>
    </w:p>
    <w:p w14:paraId="253F69FF"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0CA16287" w14:textId="5DAFF27A"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Oyebode F. Clinical errors and medical negligence. Med Princ Pract. 2013;22(4):323-33. - </w:t>
      </w:r>
      <w:r w:rsidRPr="000A7B69">
        <w:rPr>
          <w:rFonts w:ascii="Arial" w:eastAsia="Times New Roman" w:hAnsi="Arial" w:cs="Arial"/>
          <w:kern w:val="24"/>
          <w:u w:val="single"/>
        </w:rPr>
        <w:t>PMC </w:t>
      </w:r>
      <w:r w:rsidRPr="000A7B69">
        <w:rPr>
          <w:rFonts w:ascii="Arial" w:eastAsia="Times New Roman" w:hAnsi="Arial" w:cs="Arial"/>
          <w:kern w:val="24"/>
        </w:rPr>
        <w:t>- </w:t>
      </w:r>
      <w:r w:rsidRPr="000A7B69">
        <w:rPr>
          <w:rFonts w:ascii="Arial" w:eastAsia="Times New Roman" w:hAnsi="Arial" w:cs="Arial"/>
          <w:kern w:val="24"/>
          <w:u w:val="single"/>
        </w:rPr>
        <w:t>PubMed</w:t>
      </w:r>
    </w:p>
    <w:p w14:paraId="264D79C2"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rPr>
      </w:pPr>
    </w:p>
    <w:p w14:paraId="0544E178" w14:textId="77777777" w:rsidR="000A7B69" w:rsidRPr="000A7B69" w:rsidRDefault="000A7B69" w:rsidP="000A7B69">
      <w:pPr>
        <w:numPr>
          <w:ilvl w:val="0"/>
          <w:numId w:val="12"/>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Robertson JJ, Long B. Suffering in Silence: Medical Error and its Impact on Health Care Providers. J Emerg Med. 2018 Apr;54(4):402-409. - </w:t>
      </w:r>
      <w:r w:rsidRPr="000A7B69">
        <w:rPr>
          <w:rFonts w:ascii="Arial" w:eastAsia="Times New Roman" w:hAnsi="Arial" w:cs="Arial"/>
          <w:kern w:val="24"/>
          <w:u w:val="single"/>
        </w:rPr>
        <w:t>PubMed</w:t>
      </w:r>
    </w:p>
    <w:p w14:paraId="3E8A71D7"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rPr>
      </w:pPr>
    </w:p>
    <w:p w14:paraId="48E88A96" w14:textId="41F61E4B" w:rsidR="000A7B69" w:rsidRPr="000A7B69" w:rsidRDefault="000A7B69" w:rsidP="000A7B69">
      <w:pPr>
        <w:autoSpaceDE w:val="0"/>
        <w:autoSpaceDN w:val="0"/>
        <w:adjustRightInd w:val="0"/>
        <w:spacing w:after="0" w:line="240" w:lineRule="auto"/>
        <w:rPr>
          <w:rFonts w:ascii="Arial" w:eastAsia="Times New Roman" w:hAnsi="Arial" w:cs="Arial"/>
          <w:kern w:val="24"/>
        </w:rPr>
      </w:pPr>
      <w:r w:rsidRPr="000A7B69">
        <w:rPr>
          <w:rFonts w:ascii="Arial" w:eastAsia="Times New Roman" w:hAnsi="Arial" w:cs="Arial"/>
          <w:kern w:val="24"/>
        </w:rPr>
        <w:t>Rodziewicz, T. L., Houseman, B., &amp; Hipskind, J. E. (2022). Medical Error Reduction and Prevention. In </w:t>
      </w:r>
      <w:proofErr w:type="spellStart"/>
      <w:r w:rsidRPr="000A7B69">
        <w:rPr>
          <w:rFonts w:ascii="Arial" w:eastAsia="Times New Roman" w:hAnsi="Arial" w:cs="Arial"/>
          <w:i/>
          <w:iCs/>
          <w:kern w:val="24"/>
        </w:rPr>
        <w:t>StatPearls</w:t>
      </w:r>
      <w:proofErr w:type="spellEnd"/>
      <w:r w:rsidRPr="000A7B69">
        <w:rPr>
          <w:rFonts w:ascii="Arial" w:eastAsia="Times New Roman" w:hAnsi="Arial" w:cs="Arial"/>
          <w:kern w:val="24"/>
        </w:rPr>
        <w:t xml:space="preserve">. </w:t>
      </w:r>
      <w:proofErr w:type="spellStart"/>
      <w:r w:rsidRPr="000A7B69">
        <w:rPr>
          <w:rFonts w:ascii="Arial" w:eastAsia="Times New Roman" w:hAnsi="Arial" w:cs="Arial"/>
          <w:kern w:val="24"/>
        </w:rPr>
        <w:t>StatPearls</w:t>
      </w:r>
      <w:proofErr w:type="spellEnd"/>
      <w:r w:rsidRPr="000A7B69">
        <w:rPr>
          <w:rFonts w:ascii="Arial" w:eastAsia="Times New Roman" w:hAnsi="Arial" w:cs="Arial"/>
          <w:kern w:val="24"/>
        </w:rPr>
        <w:t xml:space="preserve"> Publishing.  </w:t>
      </w:r>
      <w:r w:rsidRPr="000A7B69">
        <w:rPr>
          <w:rFonts w:ascii="Arial" w:eastAsia="Times New Roman" w:hAnsi="Arial" w:cs="Arial"/>
          <w:kern w:val="24"/>
          <w:u w:val="single"/>
        </w:rPr>
        <w:t>Medical Error Reduction and Prevention - PubMed (nih.gov)</w:t>
      </w:r>
    </w:p>
    <w:p w14:paraId="1C198791"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1A728ECF"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xml:space="preserve">Singh H, Schiff GD, Graber ML, Onakpoya I, Thompson MJ. The global burden of diagnostic errors in primary care. BMJ Qual </w:t>
      </w:r>
      <w:proofErr w:type="spellStart"/>
      <w:r w:rsidRPr="000A7B69">
        <w:rPr>
          <w:rFonts w:ascii="Arial" w:eastAsia="Times New Roman" w:hAnsi="Arial" w:cs="Arial"/>
          <w:kern w:val="24"/>
        </w:rPr>
        <w:t>Saf</w:t>
      </w:r>
      <w:proofErr w:type="spellEnd"/>
      <w:r w:rsidRPr="000A7B69">
        <w:rPr>
          <w:rFonts w:ascii="Arial" w:eastAsia="Times New Roman" w:hAnsi="Arial" w:cs="Arial"/>
          <w:kern w:val="24"/>
        </w:rPr>
        <w:t>. 2017 Jun;26(6):484-494. - </w:t>
      </w:r>
      <w:r w:rsidRPr="000A7B69">
        <w:rPr>
          <w:rFonts w:ascii="Arial" w:eastAsia="Times New Roman" w:hAnsi="Arial" w:cs="Arial"/>
          <w:kern w:val="24"/>
          <w:u w:val="single"/>
        </w:rPr>
        <w:t>PMC </w:t>
      </w:r>
      <w:r w:rsidRPr="000A7B69">
        <w:rPr>
          <w:rFonts w:ascii="Arial" w:eastAsia="Times New Roman" w:hAnsi="Arial" w:cs="Arial"/>
          <w:kern w:val="24"/>
        </w:rPr>
        <w:t>- </w:t>
      </w:r>
      <w:r w:rsidRPr="000A7B69">
        <w:rPr>
          <w:rFonts w:ascii="Arial" w:eastAsia="Times New Roman" w:hAnsi="Arial" w:cs="Arial"/>
          <w:kern w:val="24"/>
          <w:u w:val="single"/>
        </w:rPr>
        <w:t>PubMed</w:t>
      </w:r>
    </w:p>
    <w:p w14:paraId="37DD5977"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41BE01E6"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u w:val="single"/>
        </w:rPr>
      </w:pPr>
      <w:r w:rsidRPr="000A7B69">
        <w:rPr>
          <w:rFonts w:ascii="Arial" w:eastAsia="Times New Roman" w:hAnsi="Arial" w:cs="Arial"/>
          <w:kern w:val="24"/>
        </w:rPr>
        <w:t>Singh H, Naik AD, Rao R, Petersen LA. Reducing diagnostic errors through effective communication: harnessing the power of information technology. J Gen Intern Med. 2008 Apr;23(4):489-94. - </w:t>
      </w:r>
      <w:r w:rsidRPr="000A7B69">
        <w:rPr>
          <w:rFonts w:ascii="Arial" w:eastAsia="Times New Roman" w:hAnsi="Arial" w:cs="Arial"/>
          <w:kern w:val="24"/>
          <w:u w:val="single"/>
        </w:rPr>
        <w:t>PMC </w:t>
      </w:r>
      <w:r w:rsidRPr="000A7B69">
        <w:rPr>
          <w:rFonts w:ascii="Arial" w:eastAsia="Times New Roman" w:hAnsi="Arial" w:cs="Arial"/>
          <w:kern w:val="24"/>
        </w:rPr>
        <w:t>- </w:t>
      </w:r>
      <w:r w:rsidRPr="000A7B69">
        <w:rPr>
          <w:rFonts w:ascii="Arial" w:eastAsia="Times New Roman" w:hAnsi="Arial" w:cs="Arial"/>
          <w:kern w:val="24"/>
          <w:u w:val="single"/>
        </w:rPr>
        <w:t>PubMed</w:t>
      </w:r>
    </w:p>
    <w:p w14:paraId="315B9BF6" w14:textId="77777777" w:rsidR="000A7B69" w:rsidRPr="000A7B69" w:rsidRDefault="000A7B69" w:rsidP="000A7B69">
      <w:pPr>
        <w:autoSpaceDE w:val="0"/>
        <w:autoSpaceDN w:val="0"/>
        <w:adjustRightInd w:val="0"/>
        <w:spacing w:after="0" w:line="240" w:lineRule="auto"/>
        <w:ind w:hanging="144"/>
        <w:rPr>
          <w:rFonts w:ascii="Arial" w:eastAsia="Times New Roman" w:hAnsi="Arial" w:cs="Arial"/>
          <w:kern w:val="24"/>
          <w:u w:val="single"/>
        </w:rPr>
      </w:pPr>
    </w:p>
    <w:p w14:paraId="227B0A2E" w14:textId="77777777" w:rsidR="000A7B69" w:rsidRPr="000A7B69" w:rsidRDefault="000A7B69" w:rsidP="000A7B69">
      <w:pPr>
        <w:autoSpaceDE w:val="0"/>
        <w:autoSpaceDN w:val="0"/>
        <w:adjustRightInd w:val="0"/>
        <w:spacing w:after="0" w:line="240" w:lineRule="auto"/>
        <w:rPr>
          <w:rFonts w:ascii="Arial" w:eastAsia="Times New Roman" w:hAnsi="Arial" w:cs="Arial"/>
          <w:kern w:val="24"/>
        </w:rPr>
      </w:pPr>
      <w:r w:rsidRPr="000A7B69">
        <w:rPr>
          <w:rFonts w:ascii="Arial" w:eastAsia="Times New Roman" w:hAnsi="Arial" w:cs="Arial"/>
          <w:kern w:val="24"/>
        </w:rPr>
        <w:t xml:space="preserve">“Using the 5 Whys worksheet”, retrieved from YouTube, </w:t>
      </w:r>
      <w:proofErr w:type="gramStart"/>
      <w:r w:rsidRPr="000A7B69">
        <w:rPr>
          <w:rFonts w:ascii="Arial" w:eastAsia="Times New Roman" w:hAnsi="Arial" w:cs="Arial"/>
          <w:kern w:val="24"/>
        </w:rPr>
        <w:t>June,</w:t>
      </w:r>
      <w:proofErr w:type="gramEnd"/>
      <w:r w:rsidRPr="000A7B69">
        <w:rPr>
          <w:rFonts w:ascii="Arial" w:eastAsia="Times New Roman" w:hAnsi="Arial" w:cs="Arial"/>
          <w:kern w:val="24"/>
        </w:rPr>
        <w:t xml:space="preserve"> 2022.</w:t>
      </w:r>
    </w:p>
    <w:p w14:paraId="65424A12"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3B2079B1"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xml:space="preserve">van Tilburg CM, Leistikow IP, Rademaker CM, </w:t>
      </w:r>
      <w:proofErr w:type="spellStart"/>
      <w:r w:rsidRPr="000A7B69">
        <w:rPr>
          <w:rFonts w:ascii="Arial" w:eastAsia="Times New Roman" w:hAnsi="Arial" w:cs="Arial"/>
          <w:kern w:val="24"/>
        </w:rPr>
        <w:t>Bierings</w:t>
      </w:r>
      <w:proofErr w:type="spellEnd"/>
      <w:r w:rsidRPr="000A7B69">
        <w:rPr>
          <w:rFonts w:ascii="Arial" w:eastAsia="Times New Roman" w:hAnsi="Arial" w:cs="Arial"/>
          <w:kern w:val="24"/>
        </w:rPr>
        <w:t xml:space="preserve"> MB, van Dijk AT. Health Care Failure Mode and Effect Analysis: a useful proactive risk analysis in a pediatric oncology ward. Qual </w:t>
      </w:r>
      <w:proofErr w:type="spellStart"/>
      <w:r w:rsidRPr="000A7B69">
        <w:rPr>
          <w:rFonts w:ascii="Arial" w:eastAsia="Times New Roman" w:hAnsi="Arial" w:cs="Arial"/>
          <w:kern w:val="24"/>
        </w:rPr>
        <w:t>Saf</w:t>
      </w:r>
      <w:proofErr w:type="spellEnd"/>
      <w:r w:rsidRPr="000A7B69">
        <w:rPr>
          <w:rFonts w:ascii="Arial" w:eastAsia="Times New Roman" w:hAnsi="Arial" w:cs="Arial"/>
          <w:kern w:val="24"/>
        </w:rPr>
        <w:t xml:space="preserve"> Health Care. 2006 Feb;15(1):58-63. - </w:t>
      </w:r>
      <w:r w:rsidRPr="000A7B69">
        <w:rPr>
          <w:rFonts w:ascii="Arial" w:eastAsia="Times New Roman" w:hAnsi="Arial" w:cs="Arial"/>
          <w:kern w:val="24"/>
          <w:u w:val="single"/>
        </w:rPr>
        <w:t>PMC </w:t>
      </w:r>
      <w:r w:rsidRPr="000A7B69">
        <w:rPr>
          <w:rFonts w:ascii="Arial" w:eastAsia="Times New Roman" w:hAnsi="Arial" w:cs="Arial"/>
          <w:kern w:val="24"/>
        </w:rPr>
        <w:t>- </w:t>
      </w:r>
      <w:r w:rsidRPr="000A7B69">
        <w:rPr>
          <w:rFonts w:ascii="Arial" w:eastAsia="Times New Roman" w:hAnsi="Arial" w:cs="Arial"/>
          <w:kern w:val="24"/>
          <w:u w:val="single"/>
        </w:rPr>
        <w:t>PubMed</w:t>
      </w:r>
    </w:p>
    <w:p w14:paraId="67E95D61"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7EB04985"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u w:val="single"/>
        </w:rPr>
      </w:pPr>
      <w:r w:rsidRPr="000A7B69">
        <w:rPr>
          <w:rFonts w:ascii="Arial" w:eastAsia="Times New Roman" w:hAnsi="Arial" w:cs="Arial"/>
          <w:kern w:val="24"/>
        </w:rPr>
        <w:t>Walker JM, Carayon P, Leveson N, Paulus RA, Tooker J, Chin H, Bothe A, Stewart WF. EHR safety: the way forward to safe and effective systems. J Am Med Inform Assoc. 2008 May-Jun;15(3):272-7. - </w:t>
      </w:r>
      <w:r w:rsidRPr="000A7B69">
        <w:rPr>
          <w:rFonts w:ascii="Arial" w:eastAsia="Times New Roman" w:hAnsi="Arial" w:cs="Arial"/>
          <w:kern w:val="24"/>
          <w:u w:val="single"/>
        </w:rPr>
        <w:t>PMC </w:t>
      </w:r>
      <w:r w:rsidRPr="000A7B69">
        <w:rPr>
          <w:rFonts w:ascii="Arial" w:eastAsia="Times New Roman" w:hAnsi="Arial" w:cs="Arial"/>
          <w:kern w:val="24"/>
        </w:rPr>
        <w:t>- </w:t>
      </w:r>
      <w:r w:rsidRPr="000A7B69">
        <w:rPr>
          <w:rFonts w:ascii="Arial" w:eastAsia="Times New Roman" w:hAnsi="Arial" w:cs="Arial"/>
          <w:kern w:val="24"/>
          <w:u w:val="single"/>
        </w:rPr>
        <w:t>PubMed</w:t>
      </w:r>
    </w:p>
    <w:p w14:paraId="4C017A1D" w14:textId="77777777" w:rsidR="000A7B69" w:rsidRPr="000A7B69" w:rsidRDefault="000A7B69" w:rsidP="000A7B69">
      <w:pPr>
        <w:autoSpaceDE w:val="0"/>
        <w:autoSpaceDN w:val="0"/>
        <w:adjustRightInd w:val="0"/>
        <w:spacing w:after="0" w:line="240" w:lineRule="auto"/>
        <w:rPr>
          <w:rFonts w:ascii="Arial" w:eastAsia="Times New Roman" w:hAnsi="Arial" w:cs="Arial"/>
          <w:kern w:val="24"/>
        </w:rPr>
      </w:pPr>
    </w:p>
    <w:p w14:paraId="6FB67BAE"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xml:space="preserve">“Why a Fishbone Diagram can Help Solve Risk and Quality Problems”, retrieved from YouTube, </w:t>
      </w:r>
      <w:proofErr w:type="gramStart"/>
      <w:r w:rsidRPr="000A7B69">
        <w:rPr>
          <w:rFonts w:ascii="Arial" w:eastAsia="Times New Roman" w:hAnsi="Arial" w:cs="Arial"/>
          <w:kern w:val="24"/>
        </w:rPr>
        <w:t>June,</w:t>
      </w:r>
      <w:proofErr w:type="gramEnd"/>
      <w:r w:rsidRPr="000A7B69">
        <w:rPr>
          <w:rFonts w:ascii="Arial" w:eastAsia="Times New Roman" w:hAnsi="Arial" w:cs="Arial"/>
          <w:kern w:val="24"/>
        </w:rPr>
        <w:t xml:space="preserve"> 2022.</w:t>
      </w:r>
    </w:p>
    <w:p w14:paraId="46B3B78C"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77956114" w14:textId="77777777" w:rsidR="000A7B69" w:rsidRPr="000A7B69" w:rsidRDefault="000A7B69" w:rsidP="000A7B69">
      <w:pPr>
        <w:numPr>
          <w:ilvl w:val="0"/>
          <w:numId w:val="11"/>
        </w:numPr>
        <w:autoSpaceDE w:val="0"/>
        <w:autoSpaceDN w:val="0"/>
        <w:adjustRightInd w:val="0"/>
        <w:spacing w:after="0" w:line="240" w:lineRule="auto"/>
        <w:ind w:hanging="144"/>
        <w:rPr>
          <w:rFonts w:ascii="Arial" w:eastAsia="Times New Roman" w:hAnsi="Arial" w:cs="Arial"/>
          <w:kern w:val="24"/>
        </w:rPr>
      </w:pPr>
      <w:r w:rsidRPr="000A7B69">
        <w:rPr>
          <w:rFonts w:ascii="Arial" w:eastAsia="Times New Roman" w:hAnsi="Arial" w:cs="Arial"/>
          <w:kern w:val="24"/>
        </w:rPr>
        <w:t> </w:t>
      </w:r>
    </w:p>
    <w:p w14:paraId="38BA39B2"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5B443E33" w14:textId="77777777" w:rsidR="000A7B69" w:rsidRPr="000A7B69" w:rsidRDefault="000A7B69" w:rsidP="000A7B69">
      <w:pPr>
        <w:autoSpaceDE w:val="0"/>
        <w:autoSpaceDN w:val="0"/>
        <w:adjustRightInd w:val="0"/>
        <w:spacing w:after="0" w:line="240" w:lineRule="auto"/>
        <w:ind w:left="144" w:hanging="144"/>
        <w:rPr>
          <w:rFonts w:ascii="Arial" w:hAnsi="Arial" w:cs="Arial"/>
          <w:kern w:val="24"/>
        </w:rPr>
      </w:pPr>
    </w:p>
    <w:p w14:paraId="798C3742" w14:textId="77777777" w:rsidR="000A7B69" w:rsidRPr="000A7B69" w:rsidRDefault="000A7B69">
      <w:pPr>
        <w:rPr>
          <w:rFonts w:ascii="Arial" w:hAnsi="Arial" w:cs="Arial"/>
        </w:rPr>
      </w:pPr>
    </w:p>
    <w:sectPr w:rsidR="000A7B69" w:rsidRPr="000A7B69" w:rsidSect="001268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9614" w14:textId="77777777" w:rsidR="00126893" w:rsidRDefault="00126893" w:rsidP="00465852">
      <w:pPr>
        <w:spacing w:after="0" w:line="240" w:lineRule="auto"/>
      </w:pPr>
      <w:r>
        <w:separator/>
      </w:r>
    </w:p>
  </w:endnote>
  <w:endnote w:type="continuationSeparator" w:id="0">
    <w:p w14:paraId="39500884" w14:textId="77777777" w:rsidR="00126893" w:rsidRDefault="00126893" w:rsidP="0046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4671" w14:textId="77777777" w:rsidR="00465852" w:rsidRDefault="00465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F9FC" w14:textId="77777777" w:rsidR="00465852" w:rsidRDefault="00465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E9DF" w14:textId="77777777" w:rsidR="00465852" w:rsidRDefault="0046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B247" w14:textId="77777777" w:rsidR="00126893" w:rsidRDefault="00126893" w:rsidP="00465852">
      <w:pPr>
        <w:spacing w:after="0" w:line="240" w:lineRule="auto"/>
      </w:pPr>
      <w:r>
        <w:separator/>
      </w:r>
    </w:p>
  </w:footnote>
  <w:footnote w:type="continuationSeparator" w:id="0">
    <w:p w14:paraId="4C9A6AE5" w14:textId="77777777" w:rsidR="00126893" w:rsidRDefault="00126893" w:rsidP="0046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DE2A" w14:textId="77777777" w:rsidR="00465852" w:rsidRDefault="00465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98582"/>
      <w:docPartObj>
        <w:docPartGallery w:val="Watermarks"/>
        <w:docPartUnique/>
      </w:docPartObj>
    </w:sdtPr>
    <w:sdtContent>
      <w:p w14:paraId="61DE4883" w14:textId="40976355" w:rsidR="00465852" w:rsidRDefault="00465852">
        <w:pPr>
          <w:pStyle w:val="Header"/>
        </w:pPr>
        <w:r>
          <w:rPr>
            <w:noProof/>
          </w:rPr>
          <w:pict w14:anchorId="70760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B0B" w14:textId="77777777" w:rsidR="00465852" w:rsidRDefault="00465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D4CA1C"/>
    <w:lvl w:ilvl="0">
      <w:numFmt w:val="bullet"/>
      <w:lvlText w:val="*"/>
      <w:lvlJc w:val="left"/>
    </w:lvl>
  </w:abstractNum>
  <w:abstractNum w:abstractNumId="1" w15:restartNumberingAfterBreak="0">
    <w:nsid w:val="3651114B"/>
    <w:multiLevelType w:val="hybridMultilevel"/>
    <w:tmpl w:val="4502C316"/>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472064443">
    <w:abstractNumId w:val="0"/>
    <w:lvlOverride w:ilvl="0">
      <w:lvl w:ilvl="0">
        <w:numFmt w:val="bullet"/>
        <w:lvlText w:val=" "/>
        <w:legacy w:legacy="1" w:legacySpace="0" w:legacyIndent="0"/>
        <w:lvlJc w:val="left"/>
        <w:rPr>
          <w:rFonts w:ascii="Arial" w:hAnsi="Arial" w:cs="Arial" w:hint="default"/>
          <w:sz w:val="48"/>
        </w:rPr>
      </w:lvl>
    </w:lvlOverride>
  </w:num>
  <w:num w:numId="2" w16cid:durableId="205266018">
    <w:abstractNumId w:val="0"/>
    <w:lvlOverride w:ilvl="0">
      <w:lvl w:ilvl="0">
        <w:numFmt w:val="bullet"/>
        <w:lvlText w:val=" "/>
        <w:legacy w:legacy="1" w:legacySpace="0" w:legacyIndent="0"/>
        <w:lvlJc w:val="left"/>
        <w:rPr>
          <w:rFonts w:ascii="Arial" w:hAnsi="Arial" w:cs="Arial" w:hint="default"/>
          <w:sz w:val="88"/>
        </w:rPr>
      </w:lvl>
    </w:lvlOverride>
  </w:num>
  <w:num w:numId="3" w16cid:durableId="328875214">
    <w:abstractNumId w:val="0"/>
    <w:lvlOverride w:ilvl="0">
      <w:lvl w:ilvl="0">
        <w:numFmt w:val="bullet"/>
        <w:lvlText w:val="•"/>
        <w:legacy w:legacy="1" w:legacySpace="0" w:legacyIndent="0"/>
        <w:lvlJc w:val="left"/>
        <w:rPr>
          <w:rFonts w:ascii="Arial" w:hAnsi="Arial" w:cs="Arial" w:hint="default"/>
          <w:sz w:val="48"/>
        </w:rPr>
      </w:lvl>
    </w:lvlOverride>
  </w:num>
  <w:num w:numId="4" w16cid:durableId="1584679250">
    <w:abstractNumId w:val="0"/>
    <w:lvlOverride w:ilvl="0">
      <w:lvl w:ilvl="0">
        <w:numFmt w:val="bullet"/>
        <w:lvlText w:val=" "/>
        <w:legacy w:legacy="1" w:legacySpace="0" w:legacyIndent="0"/>
        <w:lvlJc w:val="left"/>
        <w:rPr>
          <w:rFonts w:ascii="Arial" w:hAnsi="Arial" w:cs="Arial" w:hint="default"/>
          <w:sz w:val="44"/>
        </w:rPr>
      </w:lvl>
    </w:lvlOverride>
  </w:num>
  <w:num w:numId="5" w16cid:durableId="1574779794">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6" w16cid:durableId="58021549">
    <w:abstractNumId w:val="0"/>
    <w:lvlOverride w:ilvl="0">
      <w:lvl w:ilvl="0">
        <w:numFmt w:val="bullet"/>
        <w:lvlText w:val=" "/>
        <w:legacy w:legacy="1" w:legacySpace="0" w:legacyIndent="0"/>
        <w:lvlJc w:val="left"/>
        <w:rPr>
          <w:rFonts w:ascii="Arial" w:hAnsi="Arial" w:cs="Arial" w:hint="default"/>
          <w:sz w:val="64"/>
        </w:rPr>
      </w:lvl>
    </w:lvlOverride>
  </w:num>
  <w:num w:numId="7" w16cid:durableId="1632053636">
    <w:abstractNumId w:val="0"/>
    <w:lvlOverride w:ilvl="0">
      <w:lvl w:ilvl="0">
        <w:numFmt w:val="bullet"/>
        <w:lvlText w:val=" "/>
        <w:legacy w:legacy="1" w:legacySpace="0" w:legacyIndent="0"/>
        <w:lvlJc w:val="left"/>
        <w:rPr>
          <w:rFonts w:ascii="Arial" w:hAnsi="Arial" w:cs="Arial" w:hint="default"/>
          <w:sz w:val="40"/>
        </w:rPr>
      </w:lvl>
    </w:lvlOverride>
  </w:num>
  <w:num w:numId="8" w16cid:durableId="1807627018">
    <w:abstractNumId w:val="0"/>
    <w:lvlOverride w:ilvl="0">
      <w:lvl w:ilvl="0">
        <w:numFmt w:val="bullet"/>
        <w:lvlText w:val=" "/>
        <w:legacy w:legacy="1" w:legacySpace="0" w:legacyIndent="0"/>
        <w:lvlJc w:val="left"/>
        <w:rPr>
          <w:rFonts w:ascii="Arial" w:hAnsi="Arial" w:cs="Arial" w:hint="default"/>
          <w:sz w:val="38"/>
        </w:rPr>
      </w:lvl>
    </w:lvlOverride>
  </w:num>
  <w:num w:numId="9" w16cid:durableId="1355884029">
    <w:abstractNumId w:val="0"/>
    <w:lvlOverride w:ilvl="0">
      <w:lvl w:ilvl="0">
        <w:numFmt w:val="bullet"/>
        <w:lvlText w:val=" "/>
        <w:legacy w:legacy="1" w:legacySpace="0" w:legacyIndent="0"/>
        <w:lvlJc w:val="left"/>
        <w:rPr>
          <w:rFonts w:ascii="Arial" w:hAnsi="Arial" w:cs="Arial" w:hint="default"/>
          <w:sz w:val="112"/>
        </w:rPr>
      </w:lvl>
    </w:lvlOverride>
  </w:num>
  <w:num w:numId="10" w16cid:durableId="576869670">
    <w:abstractNumId w:val="0"/>
    <w:lvlOverride w:ilvl="0">
      <w:lvl w:ilvl="0">
        <w:numFmt w:val="bullet"/>
        <w:lvlText w:val=" "/>
        <w:legacy w:legacy="1" w:legacySpace="0" w:legacyIndent="0"/>
        <w:lvlJc w:val="left"/>
        <w:rPr>
          <w:rFonts w:ascii="Arial" w:hAnsi="Arial" w:cs="Arial" w:hint="default"/>
          <w:sz w:val="80"/>
        </w:rPr>
      </w:lvl>
    </w:lvlOverride>
  </w:num>
  <w:num w:numId="11" w16cid:durableId="1678076685">
    <w:abstractNumId w:val="0"/>
    <w:lvlOverride w:ilvl="0">
      <w:lvl w:ilvl="0">
        <w:numFmt w:val="bullet"/>
        <w:lvlText w:val=" "/>
        <w:legacy w:legacy="1" w:legacySpace="0" w:legacyIndent="0"/>
        <w:lvlJc w:val="left"/>
        <w:rPr>
          <w:rFonts w:ascii="Arial" w:hAnsi="Arial" w:cs="Arial" w:hint="default"/>
          <w:sz w:val="30"/>
        </w:rPr>
      </w:lvl>
    </w:lvlOverride>
  </w:num>
  <w:num w:numId="12" w16cid:durableId="323556094">
    <w:abstractNumId w:val="0"/>
    <w:lvlOverride w:ilvl="0">
      <w:lvl w:ilvl="0">
        <w:numFmt w:val="bullet"/>
        <w:lvlText w:val=" "/>
        <w:legacy w:legacy="1" w:legacySpace="0" w:legacyIndent="0"/>
        <w:lvlJc w:val="left"/>
        <w:rPr>
          <w:rFonts w:ascii="Arial" w:hAnsi="Arial" w:cs="Arial" w:hint="default"/>
          <w:sz w:val="32"/>
        </w:rPr>
      </w:lvl>
    </w:lvlOverride>
  </w:num>
  <w:num w:numId="13" w16cid:durableId="708728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69"/>
    <w:rsid w:val="000A7B69"/>
    <w:rsid w:val="00126893"/>
    <w:rsid w:val="0046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2BE2"/>
  <w15:chartTrackingRefBased/>
  <w15:docId w15:val="{06E9EE0D-1AF5-4D30-99EB-C9916D1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B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7B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7B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7B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7B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7B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7B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7B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7B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7B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7B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7B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7B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7B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7B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7B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7B69"/>
    <w:rPr>
      <w:rFonts w:eastAsiaTheme="majorEastAsia" w:cstheme="majorBidi"/>
      <w:color w:val="272727" w:themeColor="text1" w:themeTint="D8"/>
    </w:rPr>
  </w:style>
  <w:style w:type="paragraph" w:styleId="Title">
    <w:name w:val="Title"/>
    <w:basedOn w:val="Normal"/>
    <w:next w:val="Normal"/>
    <w:link w:val="TitleChar"/>
    <w:uiPriority w:val="10"/>
    <w:qFormat/>
    <w:rsid w:val="000A7B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B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7B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7B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7B69"/>
    <w:pPr>
      <w:spacing w:before="160"/>
      <w:jc w:val="center"/>
    </w:pPr>
    <w:rPr>
      <w:i/>
      <w:iCs/>
      <w:color w:val="404040" w:themeColor="text1" w:themeTint="BF"/>
    </w:rPr>
  </w:style>
  <w:style w:type="character" w:customStyle="1" w:styleId="QuoteChar">
    <w:name w:val="Quote Char"/>
    <w:basedOn w:val="DefaultParagraphFont"/>
    <w:link w:val="Quote"/>
    <w:uiPriority w:val="29"/>
    <w:rsid w:val="000A7B69"/>
    <w:rPr>
      <w:i/>
      <w:iCs/>
      <w:color w:val="404040" w:themeColor="text1" w:themeTint="BF"/>
    </w:rPr>
  </w:style>
  <w:style w:type="paragraph" w:styleId="ListParagraph">
    <w:name w:val="List Paragraph"/>
    <w:basedOn w:val="Normal"/>
    <w:uiPriority w:val="34"/>
    <w:qFormat/>
    <w:rsid w:val="000A7B69"/>
    <w:pPr>
      <w:ind w:left="720"/>
      <w:contextualSpacing/>
    </w:pPr>
  </w:style>
  <w:style w:type="character" w:styleId="IntenseEmphasis">
    <w:name w:val="Intense Emphasis"/>
    <w:basedOn w:val="DefaultParagraphFont"/>
    <w:uiPriority w:val="21"/>
    <w:qFormat/>
    <w:rsid w:val="000A7B69"/>
    <w:rPr>
      <w:i/>
      <w:iCs/>
      <w:color w:val="0F4761" w:themeColor="accent1" w:themeShade="BF"/>
    </w:rPr>
  </w:style>
  <w:style w:type="paragraph" w:styleId="IntenseQuote">
    <w:name w:val="Intense Quote"/>
    <w:basedOn w:val="Normal"/>
    <w:next w:val="Normal"/>
    <w:link w:val="IntenseQuoteChar"/>
    <w:uiPriority w:val="30"/>
    <w:qFormat/>
    <w:rsid w:val="000A7B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7B69"/>
    <w:rPr>
      <w:i/>
      <w:iCs/>
      <w:color w:val="0F4761" w:themeColor="accent1" w:themeShade="BF"/>
    </w:rPr>
  </w:style>
  <w:style w:type="character" w:styleId="IntenseReference">
    <w:name w:val="Intense Reference"/>
    <w:basedOn w:val="DefaultParagraphFont"/>
    <w:uiPriority w:val="32"/>
    <w:qFormat/>
    <w:rsid w:val="000A7B69"/>
    <w:rPr>
      <w:b/>
      <w:bCs/>
      <w:smallCaps/>
      <w:color w:val="0F4761" w:themeColor="accent1" w:themeShade="BF"/>
      <w:spacing w:val="5"/>
    </w:rPr>
  </w:style>
  <w:style w:type="paragraph" w:styleId="Header">
    <w:name w:val="header"/>
    <w:basedOn w:val="Normal"/>
    <w:link w:val="HeaderChar"/>
    <w:uiPriority w:val="99"/>
    <w:unhideWhenUsed/>
    <w:rsid w:val="00465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852"/>
  </w:style>
  <w:style w:type="paragraph" w:styleId="Footer">
    <w:name w:val="footer"/>
    <w:basedOn w:val="Normal"/>
    <w:link w:val="FooterChar"/>
    <w:uiPriority w:val="99"/>
    <w:unhideWhenUsed/>
    <w:rsid w:val="0046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Garrett</dc:creator>
  <cp:keywords/>
  <dc:description/>
  <cp:lastModifiedBy>Richard Garrett</cp:lastModifiedBy>
  <cp:revision>2</cp:revision>
  <dcterms:created xsi:type="dcterms:W3CDTF">2024-03-19T16:58:00Z</dcterms:created>
  <dcterms:modified xsi:type="dcterms:W3CDTF">2024-03-19T17:04:00Z</dcterms:modified>
</cp:coreProperties>
</file>